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BA218" w14:textId="52905D53" w:rsidR="00CA4035" w:rsidRPr="002A60EB" w:rsidRDefault="000F65CE" w:rsidP="00DC6A85">
      <w:pPr>
        <w:pStyle w:val="Title"/>
        <w:rPr>
          <w:bCs/>
          <w:szCs w:val="22"/>
          <w:lang w:val="en-GB"/>
        </w:rPr>
      </w:pPr>
      <w:bookmarkStart w:id="0" w:name="_Hlk197350176"/>
      <w:r w:rsidRPr="002A60EB">
        <w:rPr>
          <w:bCs/>
          <w:szCs w:val="22"/>
          <w:lang w:val="en-GB"/>
        </w:rPr>
        <w:t xml:space="preserve">Written </w:t>
      </w:r>
      <w:r w:rsidR="00995C84" w:rsidRPr="002A60EB">
        <w:rPr>
          <w:bCs/>
          <w:szCs w:val="22"/>
          <w:lang w:val="en-GB"/>
        </w:rPr>
        <w:t>Comments</w:t>
      </w:r>
      <w:r w:rsidR="006D76FD" w:rsidRPr="002A60EB">
        <w:rPr>
          <w:bCs/>
          <w:szCs w:val="22"/>
          <w:lang w:val="en-GB"/>
        </w:rPr>
        <w:t xml:space="preserve"> to the </w:t>
      </w:r>
      <w:r w:rsidR="00B35E39" w:rsidRPr="002A60EB">
        <w:rPr>
          <w:bCs/>
          <w:szCs w:val="22"/>
          <w:lang w:val="en-GB"/>
        </w:rPr>
        <w:t xml:space="preserve">OECD </w:t>
      </w:r>
      <w:r w:rsidR="002D50C7" w:rsidRPr="002A60EB">
        <w:rPr>
          <w:bCs/>
          <w:szCs w:val="22"/>
          <w:lang w:val="en-GB"/>
        </w:rPr>
        <w:t xml:space="preserve">SME </w:t>
      </w:r>
      <w:r w:rsidR="00B35E39" w:rsidRPr="002A60EB">
        <w:rPr>
          <w:bCs/>
          <w:szCs w:val="22"/>
          <w:lang w:val="en-GB"/>
        </w:rPr>
        <w:t>Committee</w:t>
      </w:r>
      <w:r w:rsidR="00D16E29" w:rsidRPr="002A60EB">
        <w:rPr>
          <w:bCs/>
          <w:szCs w:val="22"/>
          <w:lang w:val="en-GB"/>
        </w:rPr>
        <w:t xml:space="preserve"> (</w:t>
      </w:r>
      <w:r w:rsidR="002D50C7" w:rsidRPr="002A60EB">
        <w:rPr>
          <w:bCs/>
          <w:szCs w:val="22"/>
          <w:lang w:val="en-GB"/>
        </w:rPr>
        <w:t>CSMEE</w:t>
      </w:r>
      <w:r w:rsidR="00D16E29" w:rsidRPr="002A60EB">
        <w:rPr>
          <w:bCs/>
          <w:szCs w:val="22"/>
          <w:lang w:val="en-GB"/>
        </w:rPr>
        <w:t>)</w:t>
      </w:r>
    </w:p>
    <w:p w14:paraId="681F98D5" w14:textId="5A8FD083" w:rsidR="00E96A43" w:rsidRPr="002A60EB" w:rsidRDefault="0032610D" w:rsidP="00A314C9">
      <w:pPr>
        <w:jc w:val="center"/>
        <w:rPr>
          <w:color w:val="281F6B" w:themeColor="accent2"/>
          <w:sz w:val="22"/>
          <w:lang w:val="en-GB"/>
        </w:rPr>
      </w:pPr>
      <w:r>
        <w:rPr>
          <w:color w:val="281F6B" w:themeColor="accent2"/>
          <w:sz w:val="22"/>
          <w:lang w:val="en-GB"/>
        </w:rPr>
        <w:t xml:space="preserve">May </w:t>
      </w:r>
      <w:r w:rsidR="00751C94" w:rsidRPr="002A60EB">
        <w:rPr>
          <w:color w:val="281F6B" w:themeColor="accent2"/>
          <w:sz w:val="22"/>
          <w:lang w:val="en-GB"/>
        </w:rPr>
        <w:t>202</w:t>
      </w:r>
      <w:r w:rsidR="002D50C7" w:rsidRPr="002A60EB">
        <w:rPr>
          <w:color w:val="281F6B" w:themeColor="accent2"/>
          <w:sz w:val="22"/>
          <w:lang w:val="en-GB"/>
        </w:rPr>
        <w:t>6</w:t>
      </w:r>
    </w:p>
    <w:bookmarkEnd w:id="0"/>
    <w:p w14:paraId="66004B48" w14:textId="71A2D7C4" w:rsidR="00AD595C" w:rsidRDefault="00A314C9" w:rsidP="00FD05C6">
      <w:pPr>
        <w:pStyle w:val="Heading1"/>
        <w:rPr>
          <w:sz w:val="22"/>
          <w:szCs w:val="22"/>
          <w:lang w:val="en-GB"/>
        </w:rPr>
      </w:pPr>
      <w:r w:rsidRPr="002A60EB">
        <w:rPr>
          <w:sz w:val="22"/>
          <w:szCs w:val="22"/>
          <w:lang w:val="en-GB"/>
        </w:rPr>
        <w:t xml:space="preserve">General comments on the </w:t>
      </w:r>
      <w:r w:rsidR="0032610D" w:rsidRPr="0032610D">
        <w:rPr>
          <w:sz w:val="22"/>
          <w:szCs w:val="22"/>
          <w:lang w:val="en-GB"/>
        </w:rPr>
        <w:t>CSMEE Preliminary Programme of Work and Budget 2027-2030</w:t>
      </w:r>
    </w:p>
    <w:p w14:paraId="79C67342" w14:textId="77777777" w:rsidR="009E64C7" w:rsidRPr="006171D6" w:rsidRDefault="009E64C7" w:rsidP="009E64C7">
      <w:pPr>
        <w:pStyle w:val="ListParagraph"/>
        <w:numPr>
          <w:ilvl w:val="0"/>
          <w:numId w:val="10"/>
        </w:numPr>
        <w:spacing w:line="276" w:lineRule="auto"/>
        <w:rPr>
          <w:rFonts w:asciiTheme="minorHAnsi" w:hAnsiTheme="minorHAnsi"/>
          <w:color w:val="281F6B" w:themeColor="accent2"/>
          <w:sz w:val="22"/>
          <w:lang w:val="en-GB"/>
        </w:rPr>
      </w:pPr>
      <w:r w:rsidRPr="006171D6">
        <w:rPr>
          <w:rFonts w:asciiTheme="minorHAnsi" w:hAnsiTheme="minorHAnsi"/>
          <w:b/>
          <w:bCs/>
          <w:color w:val="000000" w:themeColor="text1"/>
          <w:sz w:val="22"/>
          <w:lang w:val="en-GB"/>
        </w:rPr>
        <w:t>General Comments</w:t>
      </w:r>
      <w:r w:rsidRPr="006171D6">
        <w:rPr>
          <w:rFonts w:asciiTheme="minorHAnsi" w:hAnsiTheme="minorHAnsi"/>
          <w:color w:val="000000" w:themeColor="text1"/>
          <w:sz w:val="22"/>
          <w:lang w:val="en-GB"/>
        </w:rPr>
        <w:t xml:space="preserve">: </w:t>
      </w:r>
      <w:r w:rsidRPr="006171D6">
        <w:rPr>
          <w:rFonts w:asciiTheme="minorHAnsi" w:hAnsiTheme="minorHAnsi"/>
          <w:i/>
          <w:iCs/>
          <w:color w:val="000000" w:themeColor="text1"/>
          <w:sz w:val="22"/>
          <w:lang w:val="en-GB"/>
        </w:rPr>
        <w:t>Business at OECD</w:t>
      </w:r>
      <w:r w:rsidRPr="006171D6">
        <w:rPr>
          <w:rFonts w:asciiTheme="minorHAnsi" w:hAnsiTheme="minorHAnsi"/>
          <w:color w:val="000000" w:themeColor="text1"/>
          <w:sz w:val="22"/>
          <w:lang w:val="en-GB"/>
        </w:rPr>
        <w:t xml:space="preserve"> (BIAC) welcomes the opportunity to comment on the CSMEE Preliminary Programme of Work and Budget (PWB) 2027</w:t>
      </w:r>
      <w:r w:rsidRPr="006171D6">
        <w:rPr>
          <w:rFonts w:asciiTheme="minorHAnsi" w:hAnsiTheme="minorHAnsi"/>
          <w:color w:val="000000" w:themeColor="text1"/>
          <w:sz w:val="22"/>
          <w:lang w:val="en-GB"/>
        </w:rPr>
        <w:noBreakHyphen/>
        <w:t>2030. The preliminary proposed PWB demonstrates a strong commitment to evidence</w:t>
      </w:r>
      <w:r w:rsidRPr="006171D6">
        <w:rPr>
          <w:rFonts w:asciiTheme="minorHAnsi" w:hAnsiTheme="minorHAnsi"/>
          <w:color w:val="000000" w:themeColor="text1"/>
          <w:sz w:val="22"/>
          <w:lang w:val="en-GB"/>
        </w:rPr>
        <w:noBreakHyphen/>
        <w:t>based policymaking and cross</w:t>
      </w:r>
      <w:r w:rsidRPr="006171D6">
        <w:rPr>
          <w:rFonts w:asciiTheme="minorHAnsi" w:hAnsiTheme="minorHAnsi"/>
          <w:color w:val="000000" w:themeColor="text1"/>
          <w:sz w:val="22"/>
          <w:lang w:val="en-GB"/>
        </w:rPr>
        <w:noBreakHyphen/>
        <w:t>committee collaboration, which is an important element for our members.</w:t>
      </w:r>
    </w:p>
    <w:p w14:paraId="4D40B6F1" w14:textId="77777777" w:rsidR="009E64C7" w:rsidRPr="006171D6" w:rsidRDefault="009E64C7" w:rsidP="009E64C7">
      <w:pPr>
        <w:pStyle w:val="ListParagraph"/>
        <w:spacing w:line="276" w:lineRule="auto"/>
        <w:ind w:left="360"/>
        <w:rPr>
          <w:rFonts w:asciiTheme="minorHAnsi" w:hAnsiTheme="minorHAnsi"/>
          <w:color w:val="281F6B" w:themeColor="accent2"/>
          <w:sz w:val="22"/>
          <w:lang w:val="en-GB"/>
        </w:rPr>
      </w:pPr>
    </w:p>
    <w:p w14:paraId="46B72114" w14:textId="77777777" w:rsidR="009E64C7" w:rsidRPr="006171D6" w:rsidRDefault="009E64C7" w:rsidP="009E64C7">
      <w:pPr>
        <w:pStyle w:val="ListParagraph"/>
        <w:numPr>
          <w:ilvl w:val="0"/>
          <w:numId w:val="10"/>
        </w:numPr>
        <w:spacing w:line="276" w:lineRule="auto"/>
        <w:rPr>
          <w:rFonts w:asciiTheme="minorHAnsi" w:hAnsiTheme="minorHAnsi"/>
          <w:b/>
          <w:bCs/>
          <w:color w:val="000000" w:themeColor="text1"/>
          <w:sz w:val="22"/>
          <w:lang w:val="en-GB"/>
        </w:rPr>
      </w:pPr>
      <w:r w:rsidRPr="006171D6">
        <w:rPr>
          <w:rFonts w:asciiTheme="minorHAnsi" w:hAnsiTheme="minorHAnsi"/>
          <w:b/>
          <w:bCs/>
          <w:color w:val="000000" w:themeColor="text1"/>
          <w:sz w:val="22"/>
          <w:lang w:val="en-GB"/>
        </w:rPr>
        <w:t>Specific Comments:</w:t>
      </w:r>
      <w:r w:rsidRPr="006171D6">
        <w:rPr>
          <w:rFonts w:asciiTheme="minorHAnsi" w:hAnsiTheme="minorHAnsi"/>
          <w:i/>
          <w:iCs/>
          <w:color w:val="000000" w:themeColor="text1"/>
          <w:sz w:val="22"/>
          <w:lang w:val="en-GB"/>
        </w:rPr>
        <w:t xml:space="preserve"> Business at OECD</w:t>
      </w:r>
      <w:r w:rsidRPr="006171D6">
        <w:rPr>
          <w:rFonts w:asciiTheme="minorHAnsi" w:hAnsiTheme="minorHAnsi"/>
          <w:color w:val="000000" w:themeColor="text1"/>
          <w:sz w:val="22"/>
          <w:lang w:val="en-GB"/>
        </w:rPr>
        <w:t xml:space="preserve"> encourages the Committee to further strengthen the PWB by more explicitly addressing the following issues:</w:t>
      </w:r>
    </w:p>
    <w:p w14:paraId="7A7CDAD2" w14:textId="77777777" w:rsidR="009E64C7" w:rsidRPr="006171D6" w:rsidRDefault="009E64C7" w:rsidP="009E64C7">
      <w:pPr>
        <w:pStyle w:val="ListParagraph"/>
        <w:spacing w:line="276" w:lineRule="auto"/>
        <w:rPr>
          <w:rFonts w:asciiTheme="minorHAnsi" w:hAnsiTheme="minorHAnsi"/>
          <w:b/>
          <w:bCs/>
          <w:color w:val="000000" w:themeColor="text1"/>
          <w:sz w:val="22"/>
          <w:lang w:val="en-GB"/>
        </w:rPr>
      </w:pPr>
    </w:p>
    <w:p w14:paraId="22E3B356" w14:textId="77777777" w:rsidR="009E64C7" w:rsidRPr="006171D6" w:rsidRDefault="009E64C7" w:rsidP="009E64C7">
      <w:pPr>
        <w:pStyle w:val="ListParagraph"/>
        <w:numPr>
          <w:ilvl w:val="1"/>
          <w:numId w:val="10"/>
        </w:numPr>
        <w:spacing w:line="276" w:lineRule="auto"/>
        <w:rPr>
          <w:rFonts w:asciiTheme="minorHAnsi" w:hAnsiTheme="minorHAnsi"/>
          <w:b/>
          <w:bCs/>
          <w:color w:val="000000" w:themeColor="text1"/>
          <w:sz w:val="22"/>
          <w:lang w:val="en-GB"/>
        </w:rPr>
      </w:pPr>
      <w:r w:rsidRPr="006171D6">
        <w:rPr>
          <w:rFonts w:asciiTheme="minorHAnsi" w:hAnsiTheme="minorHAnsi"/>
          <w:b/>
          <w:bCs/>
          <w:color w:val="000000" w:themeColor="text1"/>
          <w:sz w:val="22"/>
          <w:lang w:val="en-GB"/>
        </w:rPr>
        <w:t>First on proportionate and innovation</w:t>
      </w:r>
      <w:r w:rsidRPr="006171D6">
        <w:rPr>
          <w:rFonts w:asciiTheme="minorHAnsi" w:hAnsiTheme="minorHAnsi"/>
          <w:b/>
          <w:bCs/>
          <w:color w:val="000000" w:themeColor="text1"/>
          <w:sz w:val="22"/>
          <w:lang w:val="en-GB"/>
        </w:rPr>
        <w:noBreakHyphen/>
        <w:t xml:space="preserve">friendly digital and AI frameworks for SMEs. </w:t>
      </w:r>
      <w:r w:rsidRPr="006171D6">
        <w:rPr>
          <w:rFonts w:asciiTheme="minorHAnsi" w:hAnsiTheme="minorHAnsi"/>
          <w:color w:val="000000" w:themeColor="text1"/>
          <w:sz w:val="22"/>
          <w:lang w:val="en-GB"/>
        </w:rPr>
        <w:t>BIAC welcomes the attention given to digitalisation and AI uptake in SMEs (see IOR 1.3), including work on AI diffusion, skills gaps, cybersecurity and responsible use. These initiatives are highly relevant and timely, given the growing role of digital and AI tools in driving productivity and competitiveness among SMEs.</w:t>
      </w:r>
    </w:p>
    <w:p w14:paraId="1463A643" w14:textId="77777777" w:rsidR="009E64C7" w:rsidRPr="006171D6" w:rsidRDefault="009E64C7" w:rsidP="009E64C7">
      <w:pPr>
        <w:pStyle w:val="ListParagraph"/>
        <w:spacing w:line="276" w:lineRule="auto"/>
        <w:ind w:left="1080"/>
        <w:rPr>
          <w:rFonts w:asciiTheme="minorHAnsi" w:hAnsiTheme="minorHAnsi"/>
          <w:b/>
          <w:bCs/>
          <w:color w:val="000000" w:themeColor="text1"/>
          <w:sz w:val="22"/>
          <w:lang w:val="en-GB"/>
        </w:rPr>
      </w:pPr>
    </w:p>
    <w:p w14:paraId="4DEE1EC6" w14:textId="77777777" w:rsidR="009E64C7" w:rsidRPr="006171D6" w:rsidRDefault="009E64C7" w:rsidP="009E64C7">
      <w:pPr>
        <w:pStyle w:val="ListParagraph"/>
        <w:numPr>
          <w:ilvl w:val="2"/>
          <w:numId w:val="10"/>
        </w:numPr>
        <w:spacing w:line="276" w:lineRule="auto"/>
        <w:rPr>
          <w:rFonts w:asciiTheme="minorHAnsi" w:hAnsiTheme="minorHAnsi"/>
          <w:b/>
          <w:bCs/>
          <w:color w:val="000000" w:themeColor="text1"/>
          <w:sz w:val="22"/>
          <w:lang w:val="en-GB"/>
        </w:rPr>
      </w:pPr>
      <w:r w:rsidRPr="006171D6">
        <w:rPr>
          <w:rFonts w:asciiTheme="minorHAnsi" w:hAnsiTheme="minorHAnsi"/>
          <w:color w:val="000000" w:themeColor="text1"/>
          <w:sz w:val="22"/>
          <w:lang w:val="en-GB"/>
        </w:rPr>
        <w:t>However, BIAC encourages the Committee to more explicitly embed the principle of proportionality within digital and AI policy discussions. The PWB recognises the importance of a supportive regulatory environment, however, it would benefit from clearer recognition of the administrative and compliance. Also, highlighting on the cost implications that digital and AI</w:t>
      </w:r>
      <w:r w:rsidRPr="006171D6">
        <w:rPr>
          <w:rFonts w:asciiTheme="minorHAnsi" w:hAnsiTheme="minorHAnsi"/>
          <w:color w:val="000000" w:themeColor="text1"/>
          <w:sz w:val="22"/>
          <w:lang w:val="en-GB"/>
        </w:rPr>
        <w:noBreakHyphen/>
        <w:t>related requirements may generate for SMEs is encouraged. BIAC therefore encourages closer alignment between IOR 1.3 and the work under IOR 4.1 on regulatory simplification, in order to ensure that digital and AI policy frameworks enable innovation without inadvertently imposing disproportionate burdens on small companies.</w:t>
      </w:r>
    </w:p>
    <w:p w14:paraId="431F61E1" w14:textId="77777777" w:rsidR="009E64C7" w:rsidRPr="006171D6" w:rsidRDefault="009E64C7" w:rsidP="009E64C7">
      <w:pPr>
        <w:pStyle w:val="ListParagraph"/>
        <w:spacing w:line="276" w:lineRule="auto"/>
        <w:rPr>
          <w:rFonts w:asciiTheme="minorHAnsi" w:hAnsiTheme="minorHAnsi"/>
          <w:b/>
          <w:bCs/>
          <w:color w:val="000000" w:themeColor="text1"/>
          <w:sz w:val="22"/>
          <w:lang w:val="en-GB"/>
        </w:rPr>
      </w:pPr>
    </w:p>
    <w:p w14:paraId="25FAC750" w14:textId="77777777" w:rsidR="009E64C7" w:rsidRPr="006171D6" w:rsidRDefault="009E64C7" w:rsidP="009E64C7">
      <w:pPr>
        <w:pStyle w:val="ListParagraph"/>
        <w:numPr>
          <w:ilvl w:val="1"/>
          <w:numId w:val="10"/>
        </w:numPr>
        <w:spacing w:line="276" w:lineRule="auto"/>
        <w:rPr>
          <w:rFonts w:asciiTheme="minorHAnsi" w:hAnsiTheme="minorHAnsi"/>
          <w:b/>
          <w:bCs/>
          <w:color w:val="000000" w:themeColor="text1"/>
          <w:sz w:val="22"/>
          <w:lang w:val="en-GB"/>
        </w:rPr>
      </w:pPr>
      <w:r w:rsidRPr="006171D6">
        <w:rPr>
          <w:rFonts w:asciiTheme="minorHAnsi" w:hAnsiTheme="minorHAnsi"/>
          <w:b/>
          <w:bCs/>
          <w:color w:val="000000" w:themeColor="text1"/>
          <w:sz w:val="22"/>
          <w:lang w:val="en-GB"/>
        </w:rPr>
        <w:t xml:space="preserve">Second, on proportionate and streamlined ESG and sustainability reporting requirements. </w:t>
      </w:r>
      <w:r w:rsidRPr="006171D6">
        <w:rPr>
          <w:rFonts w:asciiTheme="minorHAnsi" w:hAnsiTheme="minorHAnsi"/>
          <w:color w:val="000000" w:themeColor="text1"/>
          <w:sz w:val="22"/>
          <w:lang w:val="en-GB"/>
        </w:rPr>
        <w:t>BIAC strongly welcomes the extensive attention paid to sustainability and SME greening under IOR 3.2. These efforts are critical to supporting SMEs’ contribution to environmental objectives and to their long</w:t>
      </w:r>
      <w:r w:rsidRPr="006171D6">
        <w:rPr>
          <w:rFonts w:asciiTheme="minorHAnsi" w:hAnsiTheme="minorHAnsi"/>
          <w:color w:val="000000" w:themeColor="text1"/>
          <w:sz w:val="22"/>
          <w:lang w:val="en-GB"/>
        </w:rPr>
        <w:noBreakHyphen/>
        <w:t>term competitiveness.</w:t>
      </w:r>
    </w:p>
    <w:p w14:paraId="20BD01FC" w14:textId="77777777" w:rsidR="009E64C7" w:rsidRPr="006171D6" w:rsidRDefault="009E64C7" w:rsidP="009E64C7">
      <w:pPr>
        <w:pStyle w:val="ListParagraph"/>
        <w:spacing w:line="276" w:lineRule="auto"/>
        <w:rPr>
          <w:rFonts w:asciiTheme="minorHAnsi" w:hAnsiTheme="minorHAnsi"/>
          <w:color w:val="000000" w:themeColor="text1"/>
          <w:sz w:val="22"/>
          <w:lang w:val="en-GB"/>
        </w:rPr>
      </w:pPr>
    </w:p>
    <w:p w14:paraId="0E01E3B0" w14:textId="77777777" w:rsidR="009E64C7" w:rsidRPr="006171D6" w:rsidRDefault="009E64C7" w:rsidP="009E64C7">
      <w:pPr>
        <w:pStyle w:val="ListParagraph"/>
        <w:numPr>
          <w:ilvl w:val="2"/>
          <w:numId w:val="10"/>
        </w:numPr>
        <w:spacing w:line="276" w:lineRule="auto"/>
        <w:rPr>
          <w:rFonts w:asciiTheme="minorHAnsi" w:hAnsiTheme="minorHAnsi"/>
          <w:b/>
          <w:bCs/>
          <w:color w:val="000000" w:themeColor="text1"/>
          <w:sz w:val="22"/>
          <w:lang w:val="en-GB"/>
        </w:rPr>
      </w:pPr>
      <w:r w:rsidRPr="006171D6">
        <w:rPr>
          <w:rFonts w:asciiTheme="minorHAnsi" w:hAnsiTheme="minorHAnsi"/>
          <w:color w:val="000000" w:themeColor="text1"/>
          <w:sz w:val="22"/>
          <w:lang w:val="en-GB"/>
        </w:rPr>
        <w:lastRenderedPageBreak/>
        <w:t>At the same time, BIAC notes that the PWB would benefit, under IOR 3.2, from a clearer articulation of how sustainability objectives will be pursued in a manner that is proportionate to SMEs’ size and capacity. In particular, BIAC encourages stronger emphasis on simplified and proportionate ESG and sustainability reporting requirements for SMEs, as well as on greater standardisation of data requests from financial institutions. Our members underline that without such safeguards, there is a risk that fragmented or overly complex ESG requirements may limit SME access to finance.</w:t>
      </w:r>
    </w:p>
    <w:p w14:paraId="798880D2" w14:textId="77777777" w:rsidR="009E64C7" w:rsidRPr="006171D6" w:rsidRDefault="009E64C7" w:rsidP="009E64C7">
      <w:pPr>
        <w:pStyle w:val="ListParagraph"/>
        <w:spacing w:line="276" w:lineRule="auto"/>
        <w:rPr>
          <w:rFonts w:asciiTheme="minorHAnsi" w:hAnsiTheme="minorHAnsi"/>
          <w:b/>
          <w:bCs/>
          <w:color w:val="000000" w:themeColor="text1"/>
          <w:sz w:val="22"/>
          <w:lang w:val="en-GB"/>
        </w:rPr>
      </w:pPr>
    </w:p>
    <w:p w14:paraId="04C2E6BD" w14:textId="77777777" w:rsidR="009E64C7" w:rsidRPr="005F4B59" w:rsidRDefault="009E64C7" w:rsidP="009E64C7">
      <w:pPr>
        <w:pStyle w:val="ListParagraph"/>
        <w:numPr>
          <w:ilvl w:val="1"/>
          <w:numId w:val="10"/>
        </w:numPr>
        <w:spacing w:line="276" w:lineRule="auto"/>
        <w:rPr>
          <w:rFonts w:asciiTheme="minorHAnsi" w:hAnsiTheme="minorHAnsi"/>
          <w:b/>
          <w:bCs/>
          <w:color w:val="000000" w:themeColor="text1"/>
          <w:sz w:val="22"/>
          <w:lang w:val="en-GB"/>
        </w:rPr>
      </w:pPr>
      <w:r w:rsidRPr="006171D6">
        <w:rPr>
          <w:rFonts w:asciiTheme="minorHAnsi" w:hAnsiTheme="minorHAnsi"/>
          <w:b/>
          <w:bCs/>
          <w:color w:val="000000" w:themeColor="text1"/>
          <w:sz w:val="22"/>
          <w:lang w:val="en-GB"/>
        </w:rPr>
        <w:t>Third, on strengthening SME liquidity, working</w:t>
      </w:r>
      <w:r w:rsidRPr="006171D6">
        <w:rPr>
          <w:rFonts w:asciiTheme="minorHAnsi" w:hAnsiTheme="minorHAnsi"/>
          <w:b/>
          <w:bCs/>
          <w:color w:val="000000" w:themeColor="text1"/>
          <w:sz w:val="22"/>
          <w:lang w:val="en-GB"/>
        </w:rPr>
        <w:noBreakHyphen/>
        <w:t xml:space="preserve">capital resilience and payment timeliness. </w:t>
      </w:r>
      <w:r w:rsidRPr="006171D6">
        <w:rPr>
          <w:rFonts w:asciiTheme="minorHAnsi" w:hAnsiTheme="minorHAnsi"/>
          <w:color w:val="000000" w:themeColor="text1"/>
          <w:sz w:val="22"/>
          <w:lang w:val="en-GB"/>
        </w:rPr>
        <w:t>BIAC welcomes the inclusion of SME liquidity and cash</w:t>
      </w:r>
      <w:r w:rsidRPr="006171D6">
        <w:rPr>
          <w:rFonts w:asciiTheme="minorHAnsi" w:hAnsiTheme="minorHAnsi"/>
          <w:color w:val="000000" w:themeColor="text1"/>
          <w:sz w:val="22"/>
          <w:lang w:val="en-GB"/>
        </w:rPr>
        <w:noBreakHyphen/>
        <w:t xml:space="preserve">flow management within IOR 1.1. These elements reflect important challenges faced by SMEs. </w:t>
      </w:r>
    </w:p>
    <w:p w14:paraId="441A8A3F" w14:textId="77777777" w:rsidR="009E64C7" w:rsidRPr="005F4B59" w:rsidRDefault="009E64C7" w:rsidP="009E64C7">
      <w:pPr>
        <w:pStyle w:val="ListParagraph"/>
        <w:spacing w:line="276" w:lineRule="auto"/>
        <w:ind w:left="1080"/>
        <w:rPr>
          <w:rFonts w:asciiTheme="minorHAnsi" w:hAnsiTheme="minorHAnsi"/>
          <w:b/>
          <w:bCs/>
          <w:color w:val="000000" w:themeColor="text1"/>
          <w:sz w:val="22"/>
          <w:lang w:val="en-GB"/>
        </w:rPr>
      </w:pPr>
    </w:p>
    <w:p w14:paraId="49366575" w14:textId="77777777" w:rsidR="009E64C7" w:rsidRPr="006171D6" w:rsidRDefault="009E64C7" w:rsidP="009E64C7">
      <w:pPr>
        <w:pStyle w:val="ListParagraph"/>
        <w:numPr>
          <w:ilvl w:val="2"/>
          <w:numId w:val="10"/>
        </w:numPr>
        <w:spacing w:line="276" w:lineRule="auto"/>
        <w:rPr>
          <w:rFonts w:asciiTheme="minorHAnsi" w:hAnsiTheme="minorHAnsi"/>
          <w:b/>
          <w:bCs/>
          <w:color w:val="000000" w:themeColor="text1"/>
          <w:sz w:val="22"/>
          <w:lang w:val="en-GB"/>
        </w:rPr>
      </w:pPr>
      <w:r w:rsidRPr="006171D6">
        <w:rPr>
          <w:rFonts w:asciiTheme="minorHAnsi" w:hAnsiTheme="minorHAnsi"/>
          <w:color w:val="000000" w:themeColor="text1"/>
          <w:sz w:val="22"/>
          <w:lang w:val="en-GB"/>
        </w:rPr>
        <w:t>Given the central role of liquidity in SME survival and investment capacity, BIAC nevertheless encourages the Committee to give greater visibility to this issue within the PWB. This includes stronger attention to payment timeliness and enforcement, the impact of late payments on SME cash flow, and the need for reliable and interoperable cross</w:t>
      </w:r>
      <w:r w:rsidRPr="006171D6">
        <w:rPr>
          <w:rFonts w:asciiTheme="minorHAnsi" w:hAnsiTheme="minorHAnsi"/>
          <w:color w:val="000000" w:themeColor="text1"/>
          <w:sz w:val="22"/>
          <w:lang w:val="en-GB"/>
        </w:rPr>
        <w:noBreakHyphen/>
        <w:t>border payment systems. A more holistic and prominent treatment of SME liquidity and working</w:t>
      </w:r>
      <w:r w:rsidRPr="006171D6">
        <w:rPr>
          <w:rFonts w:asciiTheme="minorHAnsi" w:hAnsiTheme="minorHAnsi"/>
          <w:color w:val="000000" w:themeColor="text1"/>
          <w:sz w:val="22"/>
          <w:lang w:val="en-GB"/>
        </w:rPr>
        <w:noBreakHyphen/>
        <w:t>capital resilience would significantly enhance the practical relevance of the PWB.</w:t>
      </w:r>
    </w:p>
    <w:p w14:paraId="46DF19C9" w14:textId="77777777" w:rsidR="009E64C7" w:rsidRPr="006171D6" w:rsidRDefault="009E64C7" w:rsidP="009E64C7">
      <w:pPr>
        <w:pStyle w:val="ListParagraph"/>
        <w:spacing w:line="276" w:lineRule="auto"/>
        <w:rPr>
          <w:rFonts w:asciiTheme="minorHAnsi" w:hAnsiTheme="minorHAnsi"/>
          <w:b/>
          <w:bCs/>
          <w:color w:val="000000" w:themeColor="text1"/>
          <w:sz w:val="22"/>
          <w:lang w:val="en-GB"/>
        </w:rPr>
      </w:pPr>
    </w:p>
    <w:p w14:paraId="77ED1D84" w14:textId="77777777" w:rsidR="009E64C7" w:rsidRPr="006171D6" w:rsidRDefault="009E64C7" w:rsidP="009E64C7">
      <w:pPr>
        <w:pStyle w:val="ListParagraph"/>
        <w:numPr>
          <w:ilvl w:val="1"/>
          <w:numId w:val="10"/>
        </w:numPr>
        <w:spacing w:line="276" w:lineRule="auto"/>
        <w:rPr>
          <w:rFonts w:asciiTheme="minorHAnsi" w:hAnsiTheme="minorHAnsi"/>
          <w:b/>
          <w:bCs/>
          <w:color w:val="000000" w:themeColor="text1"/>
          <w:sz w:val="22"/>
          <w:lang w:val="en-GB"/>
        </w:rPr>
      </w:pPr>
      <w:r w:rsidRPr="006171D6">
        <w:rPr>
          <w:rFonts w:asciiTheme="minorHAnsi" w:hAnsiTheme="minorHAnsi"/>
          <w:b/>
          <w:bCs/>
          <w:color w:val="000000" w:themeColor="text1"/>
          <w:sz w:val="22"/>
          <w:lang w:val="en-GB"/>
        </w:rPr>
        <w:t xml:space="preserve">Fourth, on addressing cumulative regulatory burdens and improving regulatory predictability. </w:t>
      </w:r>
      <w:r w:rsidRPr="006171D6">
        <w:rPr>
          <w:rFonts w:asciiTheme="minorHAnsi" w:hAnsiTheme="minorHAnsi"/>
          <w:color w:val="000000" w:themeColor="text1"/>
          <w:sz w:val="22"/>
          <w:lang w:val="en-GB"/>
        </w:rPr>
        <w:t>BIAC strongly supports the work proposed under IOR 4.1 on simplifying regulations and regulatory compliance. These initiatives are essential to improving the day</w:t>
      </w:r>
      <w:r w:rsidRPr="006171D6">
        <w:rPr>
          <w:rFonts w:asciiTheme="minorHAnsi" w:hAnsiTheme="minorHAnsi"/>
          <w:color w:val="000000" w:themeColor="text1"/>
          <w:sz w:val="22"/>
          <w:lang w:val="en-GB"/>
        </w:rPr>
        <w:noBreakHyphen/>
        <w:t>to</w:t>
      </w:r>
      <w:r w:rsidRPr="006171D6">
        <w:rPr>
          <w:rFonts w:asciiTheme="minorHAnsi" w:hAnsiTheme="minorHAnsi"/>
          <w:color w:val="000000" w:themeColor="text1"/>
          <w:sz w:val="22"/>
          <w:lang w:val="en-GB"/>
        </w:rPr>
        <w:noBreakHyphen/>
        <w:t>day operating environment for SMEs.</w:t>
      </w:r>
    </w:p>
    <w:p w14:paraId="5E924790" w14:textId="77777777" w:rsidR="009E64C7" w:rsidRPr="006171D6" w:rsidRDefault="009E64C7" w:rsidP="009E64C7">
      <w:pPr>
        <w:pStyle w:val="ListParagraph"/>
        <w:spacing w:line="276" w:lineRule="auto"/>
        <w:rPr>
          <w:rFonts w:asciiTheme="minorHAnsi" w:hAnsiTheme="minorHAnsi"/>
          <w:color w:val="000000" w:themeColor="text1"/>
          <w:sz w:val="22"/>
          <w:lang w:val="en-GB"/>
        </w:rPr>
      </w:pPr>
    </w:p>
    <w:p w14:paraId="2CD04DD5" w14:textId="77777777" w:rsidR="009E64C7" w:rsidRPr="00D142C4" w:rsidRDefault="009E64C7" w:rsidP="009E64C7">
      <w:pPr>
        <w:pStyle w:val="ListParagraph"/>
        <w:numPr>
          <w:ilvl w:val="2"/>
          <w:numId w:val="10"/>
        </w:numPr>
        <w:spacing w:line="276" w:lineRule="auto"/>
        <w:rPr>
          <w:rFonts w:asciiTheme="minorHAnsi" w:hAnsiTheme="minorHAnsi"/>
          <w:b/>
          <w:bCs/>
          <w:color w:val="000000" w:themeColor="text1"/>
          <w:sz w:val="22"/>
          <w:lang w:val="en-GB"/>
        </w:rPr>
      </w:pPr>
      <w:r w:rsidRPr="006171D6">
        <w:rPr>
          <w:rFonts w:asciiTheme="minorHAnsi" w:hAnsiTheme="minorHAnsi"/>
          <w:color w:val="000000" w:themeColor="text1"/>
          <w:sz w:val="22"/>
          <w:lang w:val="en-GB"/>
        </w:rPr>
        <w:t>However, we believe the PWB would be further strengthened by addressing cumulative regulatory burdens and regulatory predictability more explicitly. In particular, BIAC encourages greater attention to assessing the combined impact of multiple regulatory requirements on SMEs over time, the systematic use of SME</w:t>
      </w:r>
      <w:r w:rsidRPr="006171D6">
        <w:rPr>
          <w:rFonts w:asciiTheme="minorHAnsi" w:hAnsiTheme="minorHAnsi"/>
          <w:color w:val="000000" w:themeColor="text1"/>
          <w:sz w:val="22"/>
          <w:lang w:val="en-GB"/>
        </w:rPr>
        <w:noBreakHyphen/>
        <w:t>specific regulatory impact assessments, and the need for greater predictability in regulatory change. Consideration could also be given to simplified compliance pathways for micro</w:t>
      </w:r>
      <w:r w:rsidRPr="006171D6">
        <w:rPr>
          <w:rFonts w:asciiTheme="minorHAnsi" w:hAnsiTheme="minorHAnsi"/>
          <w:color w:val="000000" w:themeColor="text1"/>
          <w:sz w:val="22"/>
          <w:lang w:val="en-GB"/>
        </w:rPr>
        <w:noBreakHyphen/>
        <w:t>enterprises, which often face capacity constraints.</w:t>
      </w:r>
    </w:p>
    <w:p w14:paraId="40138177" w14:textId="77777777" w:rsidR="00D142C4" w:rsidRPr="00D142C4" w:rsidRDefault="00D142C4" w:rsidP="00D142C4">
      <w:pPr>
        <w:pStyle w:val="ListParagraph"/>
        <w:spacing w:line="276" w:lineRule="auto"/>
        <w:ind w:left="1800"/>
        <w:rPr>
          <w:rFonts w:asciiTheme="minorHAnsi" w:hAnsiTheme="minorHAnsi"/>
          <w:b/>
          <w:bCs/>
          <w:color w:val="000000" w:themeColor="text1"/>
          <w:sz w:val="22"/>
          <w:lang w:val="en-GB"/>
        </w:rPr>
      </w:pPr>
    </w:p>
    <w:p w14:paraId="2394DC18" w14:textId="4B601E9D" w:rsidR="00D142C4" w:rsidRPr="006171D6" w:rsidRDefault="00D142C4" w:rsidP="009E64C7">
      <w:pPr>
        <w:pStyle w:val="ListParagraph"/>
        <w:numPr>
          <w:ilvl w:val="2"/>
          <w:numId w:val="10"/>
        </w:numPr>
        <w:spacing w:line="276" w:lineRule="auto"/>
        <w:rPr>
          <w:rFonts w:asciiTheme="minorHAnsi" w:hAnsiTheme="minorHAnsi"/>
          <w:b/>
          <w:bCs/>
          <w:color w:val="000000" w:themeColor="text1"/>
          <w:sz w:val="22"/>
          <w:lang w:val="en-GB"/>
        </w:rPr>
      </w:pPr>
      <w:r>
        <w:rPr>
          <w:rFonts w:asciiTheme="minorHAnsi" w:hAnsiTheme="minorHAnsi"/>
          <w:color w:val="000000" w:themeColor="text1"/>
          <w:sz w:val="22"/>
          <w:lang w:val="en-GB"/>
        </w:rPr>
        <w:t>Regarding the main del</w:t>
      </w:r>
      <w:r w:rsidR="007F33D6">
        <w:rPr>
          <w:rFonts w:asciiTheme="minorHAnsi" w:hAnsiTheme="minorHAnsi"/>
          <w:color w:val="000000" w:themeColor="text1"/>
          <w:sz w:val="22"/>
          <w:lang w:val="en-GB"/>
        </w:rPr>
        <w:t xml:space="preserve">iverables of IOR 4.1, </w:t>
      </w:r>
      <w:r>
        <w:rPr>
          <w:rFonts w:asciiTheme="minorHAnsi" w:hAnsiTheme="minorHAnsi"/>
          <w:color w:val="000000" w:themeColor="text1"/>
          <w:sz w:val="22"/>
          <w:lang w:val="en-GB"/>
        </w:rPr>
        <w:t xml:space="preserve">we </w:t>
      </w:r>
      <w:r w:rsidRPr="00D142C4">
        <w:rPr>
          <w:rFonts w:asciiTheme="minorHAnsi" w:hAnsiTheme="minorHAnsi"/>
          <w:color w:val="000000" w:themeColor="text1"/>
          <w:sz w:val="22"/>
          <w:lang w:val="en-GB"/>
        </w:rPr>
        <w:t xml:space="preserve">recommend the inclusion of a concrete deliverable focused on the quantification of regulatory impacts on SMEs. </w:t>
      </w:r>
      <w:r w:rsidR="00123F4E">
        <w:rPr>
          <w:rFonts w:asciiTheme="minorHAnsi" w:hAnsiTheme="minorHAnsi"/>
          <w:color w:val="000000" w:themeColor="text1"/>
          <w:sz w:val="22"/>
          <w:lang w:val="en-GB"/>
        </w:rPr>
        <w:t>I</w:t>
      </w:r>
      <w:r w:rsidRPr="00D142C4">
        <w:rPr>
          <w:rFonts w:asciiTheme="minorHAnsi" w:hAnsiTheme="minorHAnsi"/>
          <w:color w:val="000000" w:themeColor="text1"/>
          <w:sz w:val="22"/>
          <w:lang w:val="en-GB"/>
        </w:rPr>
        <w:t>t is acknowledged that regulatory burdens can</w:t>
      </w:r>
      <w:r w:rsidRPr="00D142C4">
        <w:rPr>
          <w:rFonts w:asciiTheme="minorHAnsi" w:hAnsiTheme="minorHAnsi"/>
          <w:b/>
          <w:bCs/>
          <w:color w:val="000000" w:themeColor="text1"/>
          <w:sz w:val="22"/>
          <w:lang w:val="en-GB"/>
        </w:rPr>
        <w:t xml:space="preserve"> </w:t>
      </w:r>
      <w:r w:rsidRPr="00D142C4">
        <w:rPr>
          <w:rFonts w:asciiTheme="minorHAnsi" w:hAnsiTheme="minorHAnsi"/>
          <w:color w:val="000000" w:themeColor="text1"/>
          <w:sz w:val="22"/>
          <w:lang w:val="en-GB"/>
        </w:rPr>
        <w:t xml:space="preserve">weigh significantly on SMEs, there remains limited comparable evidence on the magnitude of these effects. The OECD is well placed to lead analytical </w:t>
      </w:r>
      <w:r w:rsidRPr="00D142C4">
        <w:rPr>
          <w:rFonts w:asciiTheme="minorHAnsi" w:hAnsiTheme="minorHAnsi"/>
          <w:color w:val="000000" w:themeColor="text1"/>
          <w:sz w:val="22"/>
          <w:lang w:val="en-GB"/>
        </w:rPr>
        <w:lastRenderedPageBreak/>
        <w:t>work</w:t>
      </w:r>
      <w:r w:rsidR="00123F4E">
        <w:rPr>
          <w:rFonts w:cs="Avenir Next LT Pro"/>
          <w:color w:val="000000" w:themeColor="text1"/>
          <w:sz w:val="22"/>
          <w:lang w:val="en-GB"/>
        </w:rPr>
        <w:t xml:space="preserve"> (</w:t>
      </w:r>
      <w:r w:rsidRPr="00D142C4">
        <w:rPr>
          <w:rFonts w:asciiTheme="minorHAnsi" w:hAnsiTheme="minorHAnsi"/>
          <w:color w:val="000000" w:themeColor="text1"/>
          <w:sz w:val="22"/>
          <w:lang w:val="en-GB"/>
        </w:rPr>
        <w:t>drawing on microdata and firm</w:t>
      </w:r>
      <w:r w:rsidRPr="00D142C4">
        <w:rPr>
          <w:rFonts w:ascii="Cambria Math" w:hAnsi="Cambria Math" w:cs="Cambria Math"/>
          <w:color w:val="000000" w:themeColor="text1"/>
          <w:sz w:val="22"/>
          <w:lang w:val="en-GB"/>
        </w:rPr>
        <w:t>‑</w:t>
      </w:r>
      <w:r w:rsidRPr="00D142C4">
        <w:rPr>
          <w:rFonts w:asciiTheme="minorHAnsi" w:hAnsiTheme="minorHAnsi"/>
          <w:color w:val="000000" w:themeColor="text1"/>
          <w:sz w:val="22"/>
          <w:lang w:val="en-GB"/>
        </w:rPr>
        <w:t>level survey evidence</w:t>
      </w:r>
      <w:r w:rsidR="00123F4E">
        <w:rPr>
          <w:rFonts w:cs="Avenir Next LT Pro"/>
          <w:color w:val="000000" w:themeColor="text1"/>
          <w:sz w:val="22"/>
          <w:lang w:val="en-GB"/>
        </w:rPr>
        <w:t xml:space="preserve">) </w:t>
      </w:r>
      <w:r w:rsidRPr="00D142C4">
        <w:rPr>
          <w:rFonts w:asciiTheme="minorHAnsi" w:hAnsiTheme="minorHAnsi"/>
          <w:color w:val="000000" w:themeColor="text1"/>
          <w:sz w:val="22"/>
          <w:lang w:val="en-GB"/>
        </w:rPr>
        <w:t>to quantify both the impact of individual regulatory measures and the cumulative burden on SME productivity, investment, growth</w:t>
      </w:r>
      <w:r w:rsidR="00FD3A92">
        <w:rPr>
          <w:rFonts w:asciiTheme="minorHAnsi" w:hAnsiTheme="minorHAnsi"/>
          <w:color w:val="000000" w:themeColor="text1"/>
          <w:sz w:val="22"/>
          <w:lang w:val="en-GB"/>
        </w:rPr>
        <w:t xml:space="preserve"> among others</w:t>
      </w:r>
      <w:r w:rsidRPr="00D142C4">
        <w:rPr>
          <w:rFonts w:asciiTheme="minorHAnsi" w:hAnsiTheme="minorHAnsi"/>
          <w:color w:val="000000" w:themeColor="text1"/>
          <w:sz w:val="22"/>
          <w:lang w:val="en-GB"/>
        </w:rPr>
        <w:t>. Such work would provide an important evidence base by making cross</w:t>
      </w:r>
      <w:r w:rsidRPr="00D142C4">
        <w:rPr>
          <w:rFonts w:ascii="Cambria Math" w:hAnsi="Cambria Math" w:cs="Cambria Math"/>
          <w:color w:val="000000" w:themeColor="text1"/>
          <w:sz w:val="22"/>
          <w:lang w:val="en-GB"/>
        </w:rPr>
        <w:t>‑</w:t>
      </w:r>
      <w:r w:rsidRPr="00D142C4">
        <w:rPr>
          <w:rFonts w:asciiTheme="minorHAnsi" w:hAnsiTheme="minorHAnsi"/>
          <w:color w:val="000000" w:themeColor="text1"/>
          <w:sz w:val="22"/>
          <w:lang w:val="en-GB"/>
        </w:rPr>
        <w:t>country differences more transparent and enabling more targeted reforms. Strengthening and disseminating existing and new quantification efforts in a clear and comparable manner would help anchor policy discussions in concrete evidence and enhance the relevance of OECD work for member</w:t>
      </w:r>
      <w:r w:rsidR="007B5EEA">
        <w:rPr>
          <w:rFonts w:asciiTheme="minorHAnsi" w:hAnsiTheme="minorHAnsi"/>
          <w:color w:val="000000" w:themeColor="text1"/>
          <w:sz w:val="22"/>
          <w:lang w:val="en-GB"/>
        </w:rPr>
        <w:t>s</w:t>
      </w:r>
      <w:r w:rsidRPr="00D142C4">
        <w:rPr>
          <w:rFonts w:asciiTheme="minorHAnsi" w:hAnsiTheme="minorHAnsi"/>
          <w:color w:val="000000" w:themeColor="text1"/>
          <w:sz w:val="22"/>
          <w:lang w:val="en-GB"/>
        </w:rPr>
        <w:t xml:space="preserve"> state</w:t>
      </w:r>
      <w:r w:rsidR="007B5EEA">
        <w:rPr>
          <w:rFonts w:asciiTheme="minorHAnsi" w:hAnsiTheme="minorHAnsi"/>
          <w:color w:val="000000" w:themeColor="text1"/>
          <w:sz w:val="22"/>
          <w:lang w:val="en-GB"/>
        </w:rPr>
        <w:t>s</w:t>
      </w:r>
      <w:r w:rsidRPr="00D142C4">
        <w:rPr>
          <w:rFonts w:asciiTheme="minorHAnsi" w:hAnsiTheme="minorHAnsi"/>
          <w:color w:val="000000" w:themeColor="text1"/>
          <w:sz w:val="22"/>
          <w:lang w:val="en-GB"/>
        </w:rPr>
        <w:t xml:space="preserve"> decision</w:t>
      </w:r>
      <w:r w:rsidRPr="00D142C4">
        <w:rPr>
          <w:rFonts w:ascii="Cambria Math" w:hAnsi="Cambria Math" w:cs="Cambria Math"/>
          <w:color w:val="000000" w:themeColor="text1"/>
          <w:sz w:val="22"/>
          <w:lang w:val="en-GB"/>
        </w:rPr>
        <w:t>‑</w:t>
      </w:r>
      <w:r w:rsidRPr="00D142C4">
        <w:rPr>
          <w:rFonts w:asciiTheme="minorHAnsi" w:hAnsiTheme="minorHAnsi"/>
          <w:color w:val="000000" w:themeColor="text1"/>
          <w:sz w:val="22"/>
          <w:lang w:val="en-GB"/>
        </w:rPr>
        <w:t>making.</w:t>
      </w:r>
    </w:p>
    <w:p w14:paraId="4E46BB25" w14:textId="77777777" w:rsidR="009E64C7" w:rsidRPr="006171D6" w:rsidRDefault="009E64C7" w:rsidP="009E64C7">
      <w:pPr>
        <w:pStyle w:val="ListParagraph"/>
        <w:spacing w:line="276" w:lineRule="auto"/>
        <w:rPr>
          <w:rFonts w:asciiTheme="minorHAnsi" w:hAnsiTheme="minorHAnsi"/>
          <w:b/>
          <w:bCs/>
          <w:color w:val="000000" w:themeColor="text1"/>
          <w:sz w:val="22"/>
          <w:lang w:val="en-GB"/>
        </w:rPr>
      </w:pPr>
    </w:p>
    <w:p w14:paraId="0A866152" w14:textId="77777777" w:rsidR="009E64C7" w:rsidRPr="006171D6" w:rsidRDefault="009E64C7" w:rsidP="009E64C7">
      <w:pPr>
        <w:pStyle w:val="ListParagraph"/>
        <w:numPr>
          <w:ilvl w:val="1"/>
          <w:numId w:val="10"/>
        </w:numPr>
        <w:spacing w:line="276" w:lineRule="auto"/>
        <w:rPr>
          <w:rFonts w:asciiTheme="minorHAnsi" w:hAnsiTheme="minorHAnsi"/>
          <w:b/>
          <w:bCs/>
          <w:color w:val="000000" w:themeColor="text1"/>
          <w:sz w:val="22"/>
          <w:lang w:val="en-GB"/>
        </w:rPr>
      </w:pPr>
      <w:r w:rsidRPr="006171D6">
        <w:rPr>
          <w:rFonts w:asciiTheme="minorHAnsi" w:hAnsiTheme="minorHAnsi"/>
          <w:b/>
          <w:bCs/>
          <w:color w:val="000000" w:themeColor="text1"/>
          <w:sz w:val="22"/>
          <w:lang w:val="en-GB"/>
        </w:rPr>
        <w:t xml:space="preserve">Fith, on entrepreneurship education and skills. </w:t>
      </w:r>
      <w:r w:rsidRPr="006171D6">
        <w:rPr>
          <w:rFonts w:asciiTheme="minorHAnsi" w:hAnsiTheme="minorHAnsi"/>
          <w:color w:val="000000" w:themeColor="text1"/>
          <w:sz w:val="22"/>
          <w:lang w:val="en-GB"/>
        </w:rPr>
        <w:t>BIAC strongly welcomes the prominent role given to entrepreneurship education and skills development approaches across the PWB, notably under IOR 1.2 and the work on entrepreneurial ecosystems and inclusive entrepreneurship. The proposed collaboration with other OECD Committees and Directorates further strengthens the relevance of this work.</w:t>
      </w:r>
    </w:p>
    <w:p w14:paraId="60504953" w14:textId="77777777" w:rsidR="009E64C7" w:rsidRPr="006171D6" w:rsidRDefault="009E64C7" w:rsidP="009E64C7">
      <w:pPr>
        <w:pStyle w:val="ListParagraph"/>
        <w:spacing w:line="276" w:lineRule="auto"/>
        <w:rPr>
          <w:rFonts w:asciiTheme="minorHAnsi" w:hAnsiTheme="minorHAnsi"/>
          <w:color w:val="000000" w:themeColor="text1"/>
          <w:sz w:val="22"/>
          <w:lang w:val="en-GB"/>
        </w:rPr>
      </w:pPr>
    </w:p>
    <w:p w14:paraId="0319DA62" w14:textId="77777777" w:rsidR="009E64C7" w:rsidRPr="006171D6" w:rsidRDefault="009E64C7" w:rsidP="009E64C7">
      <w:pPr>
        <w:pStyle w:val="ListParagraph"/>
        <w:numPr>
          <w:ilvl w:val="2"/>
          <w:numId w:val="10"/>
        </w:numPr>
        <w:spacing w:line="276" w:lineRule="auto"/>
        <w:rPr>
          <w:rFonts w:asciiTheme="minorHAnsi" w:hAnsiTheme="minorHAnsi"/>
          <w:b/>
          <w:bCs/>
          <w:color w:val="000000" w:themeColor="text1"/>
          <w:sz w:val="22"/>
          <w:lang w:val="en-GB"/>
        </w:rPr>
      </w:pPr>
      <w:r w:rsidRPr="006171D6">
        <w:rPr>
          <w:rFonts w:asciiTheme="minorHAnsi" w:hAnsiTheme="minorHAnsi"/>
          <w:color w:val="000000" w:themeColor="text1"/>
          <w:sz w:val="22"/>
          <w:lang w:val="en-GB"/>
        </w:rPr>
        <w:t>To maximise impact, BIAC encourages the Committee to more explicitly address financial and legal literacy as core components of entrepreneurship education, alongside digital and managerial skills. BIAC also encourages greater exploration of how large</w:t>
      </w:r>
      <w:r w:rsidRPr="006171D6">
        <w:rPr>
          <w:rFonts w:asciiTheme="minorHAnsi" w:hAnsiTheme="minorHAnsi"/>
          <w:color w:val="000000" w:themeColor="text1"/>
          <w:sz w:val="22"/>
          <w:lang w:val="en-GB"/>
        </w:rPr>
        <w:noBreakHyphen/>
        <w:t>firm and SME value</w:t>
      </w:r>
      <w:r w:rsidRPr="006171D6">
        <w:rPr>
          <w:rFonts w:asciiTheme="minorHAnsi" w:hAnsiTheme="minorHAnsi"/>
          <w:color w:val="000000" w:themeColor="text1"/>
          <w:sz w:val="22"/>
          <w:lang w:val="en-GB"/>
        </w:rPr>
        <w:noBreakHyphen/>
        <w:t>chain relationships could be leveraged as effective channels for mentoring and peer learning, building on existing business</w:t>
      </w:r>
      <w:r w:rsidRPr="006171D6">
        <w:rPr>
          <w:rFonts w:asciiTheme="minorHAnsi" w:hAnsiTheme="minorHAnsi"/>
          <w:color w:val="000000" w:themeColor="text1"/>
          <w:sz w:val="22"/>
          <w:lang w:val="en-GB"/>
        </w:rPr>
        <w:noBreakHyphen/>
        <w:t>led initiatives.</w:t>
      </w:r>
    </w:p>
    <w:p w14:paraId="11DBA44A" w14:textId="77777777" w:rsidR="009E64C7" w:rsidRPr="006171D6" w:rsidRDefault="009E64C7" w:rsidP="009E64C7">
      <w:pPr>
        <w:pStyle w:val="ListParagraph"/>
        <w:spacing w:line="276" w:lineRule="auto"/>
        <w:rPr>
          <w:rFonts w:asciiTheme="minorHAnsi" w:hAnsiTheme="minorHAnsi"/>
          <w:b/>
          <w:bCs/>
          <w:color w:val="000000" w:themeColor="text1"/>
          <w:sz w:val="22"/>
          <w:lang w:val="en-GB"/>
        </w:rPr>
      </w:pPr>
    </w:p>
    <w:p w14:paraId="323A77B0" w14:textId="77777777" w:rsidR="009E64C7" w:rsidRPr="006171D6" w:rsidRDefault="009E64C7" w:rsidP="009E64C7">
      <w:pPr>
        <w:pStyle w:val="ListParagraph"/>
        <w:numPr>
          <w:ilvl w:val="1"/>
          <w:numId w:val="10"/>
        </w:numPr>
        <w:spacing w:line="276" w:lineRule="auto"/>
        <w:rPr>
          <w:rFonts w:asciiTheme="minorHAnsi" w:hAnsiTheme="minorHAnsi"/>
          <w:b/>
          <w:bCs/>
          <w:color w:val="000000" w:themeColor="text1"/>
          <w:sz w:val="22"/>
          <w:lang w:val="en-GB"/>
        </w:rPr>
      </w:pPr>
      <w:r w:rsidRPr="006171D6">
        <w:rPr>
          <w:rFonts w:asciiTheme="minorHAnsi" w:hAnsiTheme="minorHAnsi"/>
          <w:b/>
          <w:bCs/>
          <w:color w:val="000000" w:themeColor="text1"/>
          <w:sz w:val="22"/>
          <w:lang w:val="en-GB"/>
        </w:rPr>
        <w:t>Sixth, on SME owners’ and entrepreneurs’ well</w:t>
      </w:r>
      <w:r w:rsidRPr="006171D6">
        <w:rPr>
          <w:rFonts w:asciiTheme="minorHAnsi" w:hAnsiTheme="minorHAnsi"/>
          <w:b/>
          <w:bCs/>
          <w:color w:val="000000" w:themeColor="text1"/>
          <w:sz w:val="22"/>
          <w:lang w:val="en-GB"/>
        </w:rPr>
        <w:noBreakHyphen/>
        <w:t xml:space="preserve">being. </w:t>
      </w:r>
      <w:r w:rsidRPr="006171D6">
        <w:rPr>
          <w:rFonts w:asciiTheme="minorHAnsi" w:hAnsiTheme="minorHAnsi"/>
          <w:color w:val="000000" w:themeColor="text1"/>
          <w:sz w:val="22"/>
          <w:lang w:val="en-GB"/>
        </w:rPr>
        <w:t>BIAC notes that the current draft of the PWB does not explicitly address the well</w:t>
      </w:r>
      <w:r w:rsidRPr="006171D6">
        <w:rPr>
          <w:rFonts w:asciiTheme="minorHAnsi" w:hAnsiTheme="minorHAnsi"/>
          <w:color w:val="000000" w:themeColor="text1"/>
          <w:sz w:val="22"/>
          <w:lang w:val="en-GB"/>
        </w:rPr>
        <w:noBreakHyphen/>
        <w:t xml:space="preserve">being of SME owners and entrepreneurs, despite increasing evidence of the personal, financial and social risks associated with entrepreneurial activity. </w:t>
      </w:r>
    </w:p>
    <w:p w14:paraId="080E6C63" w14:textId="77777777" w:rsidR="009E64C7" w:rsidRPr="006171D6" w:rsidRDefault="009E64C7" w:rsidP="009E64C7">
      <w:pPr>
        <w:pStyle w:val="ListParagraph"/>
        <w:spacing w:line="276" w:lineRule="auto"/>
        <w:rPr>
          <w:rFonts w:asciiTheme="minorHAnsi" w:hAnsiTheme="minorHAnsi"/>
          <w:color w:val="000000" w:themeColor="text1"/>
          <w:sz w:val="22"/>
          <w:lang w:val="en-GB"/>
        </w:rPr>
      </w:pPr>
    </w:p>
    <w:p w14:paraId="2C60D673" w14:textId="77777777" w:rsidR="009E64C7" w:rsidRPr="006171D6" w:rsidRDefault="009E64C7" w:rsidP="009E64C7">
      <w:pPr>
        <w:pStyle w:val="ListParagraph"/>
        <w:numPr>
          <w:ilvl w:val="2"/>
          <w:numId w:val="10"/>
        </w:numPr>
        <w:spacing w:line="276" w:lineRule="auto"/>
        <w:rPr>
          <w:rFonts w:asciiTheme="minorHAnsi" w:hAnsiTheme="minorHAnsi"/>
          <w:b/>
          <w:bCs/>
          <w:color w:val="000000" w:themeColor="text1"/>
          <w:sz w:val="22"/>
          <w:lang w:val="en-GB"/>
        </w:rPr>
      </w:pPr>
      <w:r w:rsidRPr="006171D6">
        <w:rPr>
          <w:rFonts w:asciiTheme="minorHAnsi" w:hAnsiTheme="minorHAnsi"/>
          <w:color w:val="000000" w:themeColor="text1"/>
          <w:sz w:val="22"/>
          <w:lang w:val="en-GB"/>
        </w:rPr>
        <w:t>BIAC encourages the Committee to consider these aspects more explicitly, including the transition risks from employment to entrepreneurship and the role of advisory services and social protection mechanisms in supporting sustainable entrepreneurial careers. Incorporating entrepreneur well</w:t>
      </w:r>
      <w:r w:rsidRPr="006171D6">
        <w:rPr>
          <w:rFonts w:asciiTheme="minorHAnsi" w:hAnsiTheme="minorHAnsi"/>
          <w:color w:val="000000" w:themeColor="text1"/>
          <w:sz w:val="22"/>
          <w:lang w:val="en-GB"/>
        </w:rPr>
        <w:noBreakHyphen/>
        <w:t>being considerations would strengthen the inclusiveness and long</w:t>
      </w:r>
      <w:r w:rsidRPr="006171D6">
        <w:rPr>
          <w:rFonts w:asciiTheme="minorHAnsi" w:hAnsiTheme="minorHAnsi"/>
          <w:color w:val="000000" w:themeColor="text1"/>
          <w:sz w:val="22"/>
          <w:lang w:val="en-GB"/>
        </w:rPr>
        <w:noBreakHyphen/>
        <w:t>term effectiveness of SME and entrepreneurship policies.</w:t>
      </w:r>
    </w:p>
    <w:p w14:paraId="1A0FD45E" w14:textId="77777777" w:rsidR="009E64C7" w:rsidRPr="006171D6" w:rsidRDefault="009E64C7" w:rsidP="009E64C7">
      <w:pPr>
        <w:pStyle w:val="ListParagraph"/>
        <w:spacing w:line="276" w:lineRule="auto"/>
        <w:rPr>
          <w:rFonts w:asciiTheme="minorHAnsi" w:hAnsiTheme="minorHAnsi"/>
          <w:b/>
          <w:bCs/>
          <w:color w:val="000000" w:themeColor="text1"/>
          <w:sz w:val="22"/>
          <w:lang w:val="en-GB"/>
        </w:rPr>
      </w:pPr>
    </w:p>
    <w:p w14:paraId="33374981" w14:textId="1393BA33" w:rsidR="000807F1" w:rsidRPr="000D05C4" w:rsidRDefault="009E64C7" w:rsidP="000D05C4">
      <w:pPr>
        <w:pStyle w:val="ListParagraph"/>
        <w:numPr>
          <w:ilvl w:val="0"/>
          <w:numId w:val="10"/>
        </w:numPr>
        <w:spacing w:line="276" w:lineRule="auto"/>
        <w:rPr>
          <w:rFonts w:asciiTheme="minorHAnsi" w:hAnsiTheme="minorHAnsi"/>
          <w:b/>
          <w:bCs/>
          <w:color w:val="000000" w:themeColor="text1"/>
          <w:sz w:val="22"/>
          <w:lang w:val="en-GB"/>
        </w:rPr>
      </w:pPr>
      <w:r w:rsidRPr="006171D6">
        <w:rPr>
          <w:rFonts w:asciiTheme="minorHAnsi" w:hAnsiTheme="minorHAnsi"/>
          <w:b/>
          <w:bCs/>
          <w:color w:val="000000" w:themeColor="text1"/>
          <w:sz w:val="22"/>
          <w:lang w:val="en-GB"/>
        </w:rPr>
        <w:t xml:space="preserve">Concluding remarks: </w:t>
      </w:r>
      <w:r w:rsidRPr="006171D6">
        <w:rPr>
          <w:rFonts w:asciiTheme="minorHAnsi" w:hAnsiTheme="minorHAnsi"/>
          <w:color w:val="000000" w:themeColor="text1"/>
          <w:sz w:val="22"/>
          <w:lang w:val="en-GB"/>
        </w:rPr>
        <w:t>In conclusion, BIAC considers that the CSMEE Preliminary PWB 2027</w:t>
      </w:r>
      <w:r w:rsidRPr="006171D6">
        <w:rPr>
          <w:rFonts w:asciiTheme="minorHAnsi" w:hAnsiTheme="minorHAnsi"/>
          <w:color w:val="000000" w:themeColor="text1"/>
          <w:sz w:val="22"/>
          <w:lang w:val="en-GB"/>
        </w:rPr>
        <w:noBreakHyphen/>
        <w:t>2030 provides a strong and credible strategic framework. Greater emphasis on our above specific point would however enhance its relevance and effectiveness for SMEs across OECD economies. Overall, we look forward to continuing a constructive dialogue with the Committee as the PWB is further refined.</w:t>
      </w:r>
    </w:p>
    <w:sectPr w:rsidR="000807F1" w:rsidRPr="000D05C4" w:rsidSect="00DF2786">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985" w:left="1440" w:header="567" w:footer="5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6816A" w14:textId="77777777" w:rsidR="000D3212" w:rsidRDefault="000D3212" w:rsidP="00C35E5D">
      <w:pPr>
        <w:spacing w:after="0" w:line="240" w:lineRule="auto"/>
      </w:pPr>
      <w:r>
        <w:separator/>
      </w:r>
    </w:p>
  </w:endnote>
  <w:endnote w:type="continuationSeparator" w:id="0">
    <w:p w14:paraId="3B3E361C" w14:textId="77777777" w:rsidR="000D3212" w:rsidRDefault="000D3212" w:rsidP="00C35E5D">
      <w:pPr>
        <w:spacing w:after="0" w:line="240" w:lineRule="auto"/>
      </w:pPr>
      <w:r>
        <w:continuationSeparator/>
      </w:r>
    </w:p>
  </w:endnote>
  <w:endnote w:type="continuationNotice" w:id="1">
    <w:p w14:paraId="33C2C681" w14:textId="77777777" w:rsidR="000D3212" w:rsidRDefault="000D32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Next LT Pro">
    <w:altName w:val="Avenir Next LT Pro"/>
    <w:charset w:val="00"/>
    <w:family w:val="swiss"/>
    <w:pitch w:val="variable"/>
    <w:sig w:usb0="800000EF" w:usb1="5000204A"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eiryo UI">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2A7CD" w14:textId="0C35D5FB" w:rsidR="000C76A9" w:rsidRDefault="00CA5942">
    <w:pPr>
      <w:pStyle w:val="Footer"/>
    </w:pPr>
    <w:r>
      <w:rPr>
        <w:noProof/>
      </w:rPr>
      <mc:AlternateContent>
        <mc:Choice Requires="wps">
          <w:drawing>
            <wp:anchor distT="0" distB="0" distL="0" distR="0" simplePos="0" relativeHeight="251660291" behindDoc="0" locked="0" layoutInCell="1" allowOverlap="1" wp14:anchorId="085EBC61" wp14:editId="5F244C1B">
              <wp:simplePos x="635" y="635"/>
              <wp:positionH relativeFrom="page">
                <wp:align>center</wp:align>
              </wp:positionH>
              <wp:positionV relativeFrom="page">
                <wp:align>bottom</wp:align>
              </wp:positionV>
              <wp:extent cx="1708150" cy="357505"/>
              <wp:effectExtent l="0" t="0" r="6350" b="0"/>
              <wp:wrapNone/>
              <wp:docPr id="703083566" name="Text Box 2"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08150" cy="357505"/>
                      </a:xfrm>
                      <a:prstGeom prst="rect">
                        <a:avLst/>
                      </a:prstGeom>
                      <a:noFill/>
                      <a:ln>
                        <a:noFill/>
                      </a:ln>
                    </wps:spPr>
                    <wps:txbx>
                      <w:txbxContent>
                        <w:p w14:paraId="2CBE88E6" w14:textId="2496A670" w:rsidR="00CA5942" w:rsidRPr="00CA5942" w:rsidRDefault="00CA5942" w:rsidP="00CA5942">
                          <w:pPr>
                            <w:spacing w:after="0"/>
                            <w:rPr>
                              <w:rFonts w:ascii="Calibri" w:eastAsia="Calibri" w:hAnsi="Calibri" w:cs="Calibri"/>
                              <w:noProof/>
                              <w:color w:val="0000FF"/>
                              <w:sz w:val="20"/>
                              <w:szCs w:val="20"/>
                            </w:rPr>
                          </w:pPr>
                          <w:r w:rsidRPr="00CA5942">
                            <w:rPr>
                              <w:rFonts w:ascii="Calibri" w:eastAsia="Calibri" w:hAnsi="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5EBC61" id="_x0000_t202" coordsize="21600,21600" o:spt="202" path="m,l,21600r21600,l21600,xe">
              <v:stroke joinstyle="miter"/>
              <v:path gradientshapeok="t" o:connecttype="rect"/>
            </v:shapetype>
            <v:shape id="Text Box 2" o:spid="_x0000_s1026" type="#_x0000_t202" alt="Restricted Use - À usage restreint" style="position:absolute;left:0;text-align:left;margin-left:0;margin-top:0;width:134.5pt;height:28.15pt;z-index:25166029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FENCQIAABYEAAAOAAAAZHJzL2Uyb0RvYy54bWysU8Fu2zAMvQ/YPwi6L3Y6ZO2MOEXWIsOA&#10;oi2QDj0rshQbkEWBUmJnXz9KtpOt22nYRaZJ6pF8fFre9q1hR4W+AVvy+SznTFkJVWP3Jf/+svlw&#10;w5kPwlbCgFUlPynPb1fv3y07V6grqMFUChmBWF90ruR1CK7IMi9r1Qo/A6csBTVgKwL94j6rUHSE&#10;3prsKs8/ZR1g5RCk8p6890OQrxK+1kqGJ629CsyUnHoL6cR07uKZrZai2KNwdSPHNsQ/dNGKxlLR&#10;M9S9CIIdsPkDqm0kggcdZhLaDLRupEoz0DTz/M0021o4lWYhcrw70+T/H6x8PG7dM7LQf4GeFhgJ&#10;6ZwvPDnjPL3GNn6pU0ZxovB0pk31gcl46Tq/mS8oJCn2cXG9yBcRJrvcdujDVwUti0bJkdaS2BLH&#10;Bx+G1CklFrOwaYxJqzH2NwdhRk92aTFaod/1Y987qE40DsKwae/kpqGaD8KHZ4G0WmqT5Bqe6NAG&#10;upLDaHFWA/74mz/mE+MU5awjqZTckpY5M98sbSKqajJwMnbJmH/OFznF7aG9AxLgnN6Ck8kkLwYz&#10;mRqhfSUhr2MhCgkrqVzJd5N5FwbN0kOQar1OSSQgJ8KD3ToZoSNPkcSX/lWgG5kOtKNHmHQkijeE&#10;D7nxpnfrQyDa0zYipwORI9UkvrTP8aFEdf/6n7Iuz3n1EwAA//8DAFBLAwQUAAYACAAAACEAwlwK&#10;YNoAAAAEAQAADwAAAGRycy9kb3ducmV2LnhtbEyPTWvDMAyG74P9B6PBbquzhIUui1NKoaeOQT8u&#10;u7m2mmSL5RA7bfrvp+2yXgQvr3j0qFxMrhNnHELrScHzLAGBZLxtqVZw2K+f5iBC1GR15wkVXDHA&#10;orq/K3Vh/YW2eN7FWjCEQqEVNDH2hZTBNOh0mPkeibuTH5yOHIda2kFfGO46mSZJLp1uiS80usdV&#10;g+Z7NzoFL9v4Pn7QPvuc0uvXpl+Z7LQxSj0+TMs3EBGn+L8Mv/qsDhU7Hf1INohOAT8S/yZ3af7K&#10;8cjgPANZlfJWvvoBAAD//wMAUEsBAi0AFAAGAAgAAAAhALaDOJL+AAAA4QEAABMAAAAAAAAAAAAA&#10;AAAAAAAAAFtDb250ZW50X1R5cGVzXS54bWxQSwECLQAUAAYACAAAACEAOP0h/9YAAACUAQAACwAA&#10;AAAAAAAAAAAAAAAvAQAAX3JlbHMvLnJlbHNQSwECLQAUAAYACAAAACEAqcRRDQkCAAAWBAAADgAA&#10;AAAAAAAAAAAAAAAuAgAAZHJzL2Uyb0RvYy54bWxQSwECLQAUAAYACAAAACEAwlwKYNoAAAAEAQAA&#10;DwAAAAAAAAAAAAAAAABjBAAAZHJzL2Rvd25yZXYueG1sUEsFBgAAAAAEAAQA8wAAAGoFAAAAAA==&#10;" filled="f" stroked="f">
              <v:textbox style="mso-fit-shape-to-text:t" inset="0,0,0,15pt">
                <w:txbxContent>
                  <w:p w14:paraId="2CBE88E6" w14:textId="2496A670" w:rsidR="00CA5942" w:rsidRPr="00CA5942" w:rsidRDefault="00CA5942" w:rsidP="00CA5942">
                    <w:pPr>
                      <w:spacing w:after="0"/>
                      <w:rPr>
                        <w:rFonts w:ascii="Calibri" w:eastAsia="Calibri" w:hAnsi="Calibri" w:cs="Calibri"/>
                        <w:noProof/>
                        <w:color w:val="0000FF"/>
                        <w:sz w:val="20"/>
                        <w:szCs w:val="20"/>
                      </w:rPr>
                    </w:pPr>
                    <w:r w:rsidRPr="00CA5942">
                      <w:rPr>
                        <w:rFonts w:ascii="Calibri" w:eastAsia="Calibri" w:hAnsi="Calibri" w:cs="Calibri"/>
                        <w:noProof/>
                        <w:color w:val="0000FF"/>
                        <w:sz w:val="20"/>
                        <w:szCs w:val="20"/>
                      </w:rPr>
                      <w:t>Restricted Use - À usage restreint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79574" w14:textId="77777777" w:rsidR="00560267" w:rsidRDefault="00CA5942" w:rsidP="000807F1">
    <w:pPr>
      <w:pStyle w:val="Footer"/>
      <w:jc w:val="right"/>
    </w:pPr>
    <w:r>
      <w:rPr>
        <w:noProof/>
      </w:rPr>
      <mc:AlternateContent>
        <mc:Choice Requires="wps">
          <w:drawing>
            <wp:anchor distT="0" distB="0" distL="0" distR="0" simplePos="0" relativeHeight="251661315" behindDoc="0" locked="0" layoutInCell="1" allowOverlap="1" wp14:anchorId="1CF50EEB" wp14:editId="142D8C29">
              <wp:simplePos x="635" y="635"/>
              <wp:positionH relativeFrom="page">
                <wp:align>center</wp:align>
              </wp:positionH>
              <wp:positionV relativeFrom="page">
                <wp:align>bottom</wp:align>
              </wp:positionV>
              <wp:extent cx="1708150" cy="357505"/>
              <wp:effectExtent l="0" t="0" r="6350" b="0"/>
              <wp:wrapNone/>
              <wp:docPr id="2088958694" name="Text Box 3"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08150" cy="357505"/>
                      </a:xfrm>
                      <a:prstGeom prst="rect">
                        <a:avLst/>
                      </a:prstGeom>
                      <a:noFill/>
                      <a:ln>
                        <a:noFill/>
                      </a:ln>
                    </wps:spPr>
                    <wps:txbx>
                      <w:txbxContent>
                        <w:p w14:paraId="5FBA1ABB" w14:textId="01A06CFA" w:rsidR="00CA5942" w:rsidRPr="00CA5942" w:rsidRDefault="00CA5942" w:rsidP="00CA5942">
                          <w:pPr>
                            <w:spacing w:after="0"/>
                            <w:rPr>
                              <w:rFonts w:ascii="Calibri" w:eastAsia="Calibri" w:hAnsi="Calibri" w:cs="Calibri"/>
                              <w:noProof/>
                              <w:color w:val="0000FF"/>
                              <w:sz w:val="20"/>
                              <w:szCs w:val="20"/>
                            </w:rPr>
                          </w:pPr>
                          <w:r w:rsidRPr="00CA5942">
                            <w:rPr>
                              <w:rFonts w:ascii="Calibri" w:eastAsia="Calibri" w:hAnsi="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F50EEB" id="_x0000_t202" coordsize="21600,21600" o:spt="202" path="m,l,21600r21600,l21600,xe">
              <v:stroke joinstyle="miter"/>
              <v:path gradientshapeok="t" o:connecttype="rect"/>
            </v:shapetype>
            <v:shape id="Text Box 3" o:spid="_x0000_s1027" type="#_x0000_t202" alt="Restricted Use - À usage restreint" style="position:absolute;left:0;text-align:left;margin-left:0;margin-top:0;width:134.5pt;height:28.15pt;z-index:25166131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gnPDAIAAB0EAAAOAAAAZHJzL2Uyb0RvYy54bWysU8Fu2zAMvQ/YPwi6L3Y6ZG2NOEXWIsOA&#10;oC2QDj0rshQbkEWBUmJnXz9KjpOu22nYRaZJ6pF8fJrf9a1hB4W+AVvy6STnTFkJVWN3Jf/xsvp0&#10;w5kPwlbCgFUlPyrP7xYfP8w7V6grqMFUChmBWF90ruR1CK7IMi9r1Qo/AacsBTVgKwL94i6rUHSE&#10;3prsKs+/ZB1g5RCk8p68D0OQLxK+1kqGJ629CsyUnHoL6cR0buOZLeai2KFwdSNPbYh/6KIVjaWi&#10;Z6gHEQTbY/MHVNtIBA86TCS0GWjdSJVmoGmm+btpNrVwKs1C5Hh3psn/P1j5eNi4Z2Sh/wo9LTAS&#10;0jlfeHLGeXqNbfxSp4ziROHxTJvqA5Px0nV+M51RSFLs8+x6ls8iTHa57dCHbwpaFo2SI60lsSUO&#10;ax+G1DElFrOwaoxJqzH2NwdhRk92aTFaod/2rKnetL+F6khTIQwL906uGiq9Fj48C6QNU7ek2vBE&#10;hzbQlRxOFmc14M+/+WM+EU9RzjpSTMktSZoz893SQqK4RgNHY5uM6W0+yylu9+09kA6n9CScTCZ5&#10;MZjR1AjtK+l5GQtRSFhJ5Uq+Hc37MEiX3oNUy2VKIh05EdZ242SEjnRFLl/6V4HuRHigVT3CKCdR&#10;vON9yI03vVvuA7GflhKpHYg8MU4aTGs9vZco8rf/Kevyqhe/AAAA//8DAFBLAwQUAAYACAAAACEA&#10;wlwKYNoAAAAEAQAADwAAAGRycy9kb3ducmV2LnhtbEyPTWvDMAyG74P9B6PBbquzhIUui1NKoaeO&#10;QT8uu7m2mmSL5RA7bfrvp+2yXgQvr3j0qFxMrhNnHELrScHzLAGBZLxtqVZw2K+f5iBC1GR15wkV&#10;XDHAorq/K3Vh/YW2eN7FWjCEQqEVNDH2hZTBNOh0mPkeibuTH5yOHIda2kFfGO46mSZJLp1uiS80&#10;usdVg+Z7NzoFL9v4Pn7QPvuc0uvXpl+Z7LQxSj0+TMs3EBGn+L8Mv/qsDhU7Hf1INohOAT8S/yZ3&#10;af7K8cjgPANZlfJWvvoBAAD//wMAUEsBAi0AFAAGAAgAAAAhALaDOJL+AAAA4QEAABMAAAAAAAAA&#10;AAAAAAAAAAAAAFtDb250ZW50X1R5cGVzXS54bWxQSwECLQAUAAYACAAAACEAOP0h/9YAAACUAQAA&#10;CwAAAAAAAAAAAAAAAAAvAQAAX3JlbHMvLnJlbHNQSwECLQAUAAYACAAAACEAFm4JzwwCAAAdBAAA&#10;DgAAAAAAAAAAAAAAAAAuAgAAZHJzL2Uyb0RvYy54bWxQSwECLQAUAAYACAAAACEAwlwKYNoAAAAE&#10;AQAADwAAAAAAAAAAAAAAAABmBAAAZHJzL2Rvd25yZXYueG1sUEsFBgAAAAAEAAQA8wAAAG0FAAAA&#10;AA==&#10;" filled="f" stroked="f">
              <v:textbox style="mso-fit-shape-to-text:t" inset="0,0,0,15pt">
                <w:txbxContent>
                  <w:p w14:paraId="5FBA1ABB" w14:textId="01A06CFA" w:rsidR="00CA5942" w:rsidRPr="00CA5942" w:rsidRDefault="00CA5942" w:rsidP="00CA5942">
                    <w:pPr>
                      <w:spacing w:after="0"/>
                      <w:rPr>
                        <w:rFonts w:ascii="Calibri" w:eastAsia="Calibri" w:hAnsi="Calibri" w:cs="Calibri"/>
                        <w:noProof/>
                        <w:color w:val="0000FF"/>
                        <w:sz w:val="20"/>
                        <w:szCs w:val="20"/>
                      </w:rPr>
                    </w:pPr>
                    <w:r w:rsidRPr="00CA5942">
                      <w:rPr>
                        <w:rFonts w:ascii="Calibri" w:eastAsia="Calibri" w:hAnsi="Calibri" w:cs="Calibri"/>
                        <w:noProof/>
                        <w:color w:val="0000FF"/>
                        <w:sz w:val="20"/>
                        <w:szCs w:val="20"/>
                      </w:rPr>
                      <w:t>Restricted Use - À usage restreint</w:t>
                    </w:r>
                  </w:p>
                </w:txbxContent>
              </v:textbox>
              <w10:wrap anchorx="page" anchory="page"/>
            </v:shape>
          </w:pict>
        </mc:Fallback>
      </mc:AlternateContent>
    </w:r>
  </w:p>
  <w:sdt>
    <w:sdtPr>
      <w:id w:val="-989780343"/>
      <w:docPartObj>
        <w:docPartGallery w:val="Page Numbers (Bottom of Page)"/>
        <w:docPartUnique/>
      </w:docPartObj>
    </w:sdtPr>
    <w:sdtEndPr>
      <w:rPr>
        <w:sz w:val="20"/>
        <w:szCs w:val="20"/>
      </w:rPr>
    </w:sdtEndPr>
    <w:sdtContent>
      <w:sdt>
        <w:sdtPr>
          <w:id w:val="-1705238520"/>
          <w:docPartObj>
            <w:docPartGallery w:val="Page Numbers (Top of Page)"/>
            <w:docPartUnique/>
          </w:docPartObj>
        </w:sdtPr>
        <w:sdtEndPr>
          <w:rPr>
            <w:sz w:val="20"/>
            <w:szCs w:val="20"/>
          </w:rPr>
        </w:sdtEndPr>
        <w:sdtContent>
          <w:p w14:paraId="1217A5B2" w14:textId="5C89E79F" w:rsidR="00126793" w:rsidRPr="00CD1569" w:rsidRDefault="00CD1569" w:rsidP="000807F1">
            <w:pPr>
              <w:pStyle w:val="Footer"/>
              <w:jc w:val="right"/>
              <w:rPr>
                <w:b/>
                <w:bCs/>
                <w:color w:val="F9F9F5" w:themeColor="accent1"/>
                <w:sz w:val="20"/>
                <w:szCs w:val="20"/>
              </w:rPr>
            </w:pPr>
            <w:r w:rsidRPr="00CD1569">
              <w:rPr>
                <w:noProof/>
                <w:sz w:val="20"/>
                <w:szCs w:val="20"/>
              </w:rPr>
              <mc:AlternateContent>
                <mc:Choice Requires="wps">
                  <w:drawing>
                    <wp:anchor distT="0" distB="0" distL="114300" distR="114300" simplePos="0" relativeHeight="251658243" behindDoc="0" locked="0" layoutInCell="1" allowOverlap="1" wp14:anchorId="30460975" wp14:editId="0CBA7D6E">
                      <wp:simplePos x="0" y="0"/>
                      <wp:positionH relativeFrom="column">
                        <wp:posOffset>-13335</wp:posOffset>
                      </wp:positionH>
                      <wp:positionV relativeFrom="paragraph">
                        <wp:posOffset>-237168</wp:posOffset>
                      </wp:positionV>
                      <wp:extent cx="5724000" cy="0"/>
                      <wp:effectExtent l="0" t="0" r="0" b="0"/>
                      <wp:wrapNone/>
                      <wp:docPr id="1124392530"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4000" cy="0"/>
                              </a:xfrm>
                              <a:prstGeom prst="line">
                                <a:avLst/>
                              </a:prstGeom>
                              <a:ln w="6350">
                                <a:gradFill flip="none" rotWithShape="1">
                                  <a:gsLst>
                                    <a:gs pos="100000">
                                      <a:schemeClr val="accent2"/>
                                    </a:gs>
                                    <a:gs pos="50000">
                                      <a:schemeClr val="accent4"/>
                                    </a:gs>
                                    <a:gs pos="75000">
                                      <a:schemeClr val="accent3"/>
                                    </a:gs>
                                    <a:gs pos="25000">
                                      <a:schemeClr val="accent5"/>
                                    </a:gs>
                                    <a:gs pos="0">
                                      <a:schemeClr val="accent6"/>
                                    </a:gs>
                                  </a:gsLst>
                                  <a:path path="circle">
                                    <a:fillToRect l="100000" t="100000"/>
                                  </a:path>
                                  <a:tileRect r="-100000" b="-100000"/>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0805D04" id="Straight Connector 16" o:spid="_x0000_s1026" style="position:absolute;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pt,-18.65pt" to="449.6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bjOQIAAH4FAAAOAAAAZHJzL2Uyb0RvYy54bWysVMlu2zAQvRfoPxC8x5Kd2CkEyzkkSC9B&#10;GyQpcmYo0iJKkQTJWvLfd4ZaajSqgRa9EFzmzfLmDbc3XaPJQfigrCnpcpFTIgy3lTL7kn57ub/4&#10;REmIzFRMWyNKehSB3uw+fti2rhArW1tdCU/AiQlF60pax+iKLAu8Fg0LC+uEgUdpfcMiHP0+qzxr&#10;wXujs1Web7LW+sp5y0UIcHvXP9Jd8i+l4PGrlEFEoksKucW0+rS+4ZrttqzYe+ZqxYc02D9k0TBl&#10;IOjk6o5FRn549c5Vo7i3wcq44LbJrJSKi1QDVLPMf6vmuWZOpFqAnOAmmsL/c8u/HG7No8fUeWee&#10;3YPl3wOQkrUuFNMjHoLrzTrpGzSH3EmXiDxORIouEg6X6+vVVZ4D33x8y1gxAp0P8bOwDcFNSbUy&#10;WCMr2OEhRAzNitEEr7UhbUk3l+t8JLi6V1oTqRXoxYCqKPE2vqpYJ75Ahb1hAHfoYB+Is0DZEjKC&#10;nPAqyUvcak8ODITBOBcmrlAMEHwfTlHr86CrWdA1ov4c6XIWtDoPWs+CzkTZnABSWQMfjsWa4FJS&#10;rjzXPfsSOH2xTzAwOCoDVzgvw3ZoDMCQnai0SLYwShejMQzUuB+Y9Cz1KtGqzaCqXkhJUvGoBbrT&#10;5klIoiqQTt+82QYth4KSNcIw5wl4hokRONgjVKS/4W/AEyJFtiZO4EYZ6+e6Hbspcm8/MtDXjRS8&#10;2er46JEuPMGQJ66GDwl/kdNzsvr1be5+AgAA//8DAFBLAwQUAAYACAAAACEAYnkPLt0AAAAKAQAA&#10;DwAAAGRycy9kb3ducmV2LnhtbEyPT0vDQBDF74LfYRnBW7tpCyaN2RQRPAiCGj143CbTJO3ubNzd&#10;JvHbO4Kgp/n34703xW62RozoQ+9IwWqZgECqXdNTq+D97WGRgQhRU6ONI1TwhQF25eVFofPGTfSK&#10;YxVbwSIUcq2gi3HIpQx1h1aHpRuQ+HZw3urIo29l4/XE4tbIdZLcSKt7YodOD3jfYX2qzpZVKP08&#10;zMZ/vDw/dVk1HfFxTFGp66v57hZExDn+wfATn6NDyZn27kxNEEbBYr1ikusm3YBgINtuudn/bmRZ&#10;yP8vlN8AAAD//wMAUEsBAi0AFAAGAAgAAAAhALaDOJL+AAAA4QEAABMAAAAAAAAAAAAAAAAAAAAA&#10;AFtDb250ZW50X1R5cGVzXS54bWxQSwECLQAUAAYACAAAACEAOP0h/9YAAACUAQAACwAAAAAAAAAA&#10;AAAAAAAvAQAAX3JlbHMvLnJlbHNQSwECLQAUAAYACAAAACEAad/24zkCAAB+BQAADgAAAAAAAAAA&#10;AAAAAAAuAgAAZHJzL2Uyb0RvYy54bWxQSwECLQAUAAYACAAAACEAYnkPLt0AAAAKAQAADwAAAAAA&#10;AAAAAAAAAACTBAAAZHJzL2Rvd25yZXYueG1sUEsFBgAAAAAEAAQA8wAAAJ0FAAAAAA==&#10;" strokeweight=".5pt">
                      <v:stroke joinstyle="miter"/>
                      <o:lock v:ext="edit" shapetype="f"/>
                    </v:line>
                  </w:pict>
                </mc:Fallback>
              </mc:AlternateContent>
            </w:r>
            <w:r w:rsidR="0007754B" w:rsidRPr="00CD1569">
              <w:rPr>
                <w:i/>
                <w:iCs/>
                <w:color w:val="281F6B"/>
                <w:sz w:val="20"/>
                <w:szCs w:val="20"/>
              </w:rPr>
              <w:t>Business at OECD</w:t>
            </w:r>
            <w:r w:rsidR="0007754B" w:rsidRPr="00CD1569">
              <w:rPr>
                <w:color w:val="281F6B"/>
                <w:sz w:val="20"/>
                <w:szCs w:val="20"/>
              </w:rPr>
              <w:t xml:space="preserve"> (BIAC) </w:t>
            </w:r>
            <w:r w:rsidR="0007754B" w:rsidRPr="00CD1569">
              <w:rPr>
                <w:color w:val="281F6B"/>
                <w:sz w:val="20"/>
                <w:szCs w:val="20"/>
              </w:rPr>
              <w:tab/>
            </w:r>
            <w:r w:rsidR="0007754B" w:rsidRPr="00CD1569">
              <w:rPr>
                <w:color w:val="281F6B"/>
                <w:sz w:val="20"/>
                <w:szCs w:val="20"/>
              </w:rPr>
              <w:tab/>
            </w:r>
            <w:r w:rsidR="000807F1" w:rsidRPr="00941086">
              <w:rPr>
                <w:color w:val="281F6B" w:themeColor="accent2"/>
                <w:sz w:val="20"/>
                <w:szCs w:val="20"/>
              </w:rPr>
              <w:t xml:space="preserve">Page </w:t>
            </w:r>
            <w:r w:rsidR="000807F1" w:rsidRPr="00941086">
              <w:rPr>
                <w:color w:val="281F6B" w:themeColor="accent2"/>
                <w:sz w:val="20"/>
                <w:szCs w:val="20"/>
              </w:rPr>
              <w:fldChar w:fldCharType="begin"/>
            </w:r>
            <w:r w:rsidR="000807F1" w:rsidRPr="00941086">
              <w:rPr>
                <w:color w:val="281F6B" w:themeColor="accent2"/>
                <w:sz w:val="20"/>
                <w:szCs w:val="20"/>
              </w:rPr>
              <w:instrText xml:space="preserve"> PAGE </w:instrText>
            </w:r>
            <w:r w:rsidR="000807F1" w:rsidRPr="00941086">
              <w:rPr>
                <w:color w:val="281F6B" w:themeColor="accent2"/>
                <w:sz w:val="20"/>
                <w:szCs w:val="20"/>
              </w:rPr>
              <w:fldChar w:fldCharType="separate"/>
            </w:r>
            <w:r w:rsidR="000807F1" w:rsidRPr="00941086">
              <w:rPr>
                <w:noProof/>
                <w:color w:val="281F6B" w:themeColor="accent2"/>
                <w:sz w:val="20"/>
                <w:szCs w:val="20"/>
              </w:rPr>
              <w:t>2</w:t>
            </w:r>
            <w:r w:rsidR="000807F1" w:rsidRPr="00941086">
              <w:rPr>
                <w:color w:val="281F6B" w:themeColor="accent2"/>
                <w:sz w:val="20"/>
                <w:szCs w:val="20"/>
              </w:rPr>
              <w:fldChar w:fldCharType="end"/>
            </w:r>
            <w:r w:rsidR="000807F1" w:rsidRPr="00941086">
              <w:rPr>
                <w:color w:val="281F6B" w:themeColor="accent2"/>
                <w:sz w:val="20"/>
                <w:szCs w:val="20"/>
              </w:rPr>
              <w:t xml:space="preserve"> of </w:t>
            </w:r>
            <w:r w:rsidR="000807F1" w:rsidRPr="00941086">
              <w:rPr>
                <w:color w:val="281F6B" w:themeColor="accent2"/>
                <w:sz w:val="20"/>
                <w:szCs w:val="20"/>
              </w:rPr>
              <w:fldChar w:fldCharType="begin"/>
            </w:r>
            <w:r w:rsidR="000807F1" w:rsidRPr="00941086">
              <w:rPr>
                <w:color w:val="281F6B" w:themeColor="accent2"/>
                <w:sz w:val="20"/>
                <w:szCs w:val="20"/>
              </w:rPr>
              <w:instrText xml:space="preserve"> NUMPAGES  </w:instrText>
            </w:r>
            <w:r w:rsidR="000807F1" w:rsidRPr="00941086">
              <w:rPr>
                <w:color w:val="281F6B" w:themeColor="accent2"/>
                <w:sz w:val="20"/>
                <w:szCs w:val="20"/>
              </w:rPr>
              <w:fldChar w:fldCharType="separate"/>
            </w:r>
            <w:r w:rsidR="000807F1" w:rsidRPr="00941086">
              <w:rPr>
                <w:noProof/>
                <w:color w:val="281F6B" w:themeColor="accent2"/>
                <w:sz w:val="20"/>
                <w:szCs w:val="20"/>
              </w:rPr>
              <w:t>2</w:t>
            </w:r>
            <w:r w:rsidR="000807F1" w:rsidRPr="00941086">
              <w:rPr>
                <w:color w:val="281F6B" w:themeColor="accent2"/>
                <w:sz w:val="20"/>
                <w:szCs w:val="20"/>
              </w:rPr>
              <w:fldChar w:fldCharType="end"/>
            </w:r>
          </w:p>
          <w:p w14:paraId="1742121F" w14:textId="1E99ECA1" w:rsidR="000807F1" w:rsidRPr="00CD1569" w:rsidRDefault="000D3212" w:rsidP="000807F1">
            <w:pPr>
              <w:pStyle w:val="Footer"/>
              <w:jc w:val="right"/>
              <w:rPr>
                <w:sz w:val="20"/>
                <w:szCs w:val="20"/>
              </w:rPr>
            </w:pPr>
          </w:p>
        </w:sdtContent>
      </w:sdt>
    </w:sdtContent>
  </w:sdt>
  <w:p w14:paraId="7C25F34D" w14:textId="77777777" w:rsidR="007F14F3" w:rsidRPr="00CD1569" w:rsidRDefault="007F14F3">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91DBA" w14:textId="770C03E5" w:rsidR="006A7DE0" w:rsidRPr="005209AB" w:rsidRDefault="00CA5942" w:rsidP="003D0809">
    <w:pPr>
      <w:pStyle w:val="a"/>
      <w:rPr>
        <w:rFonts w:ascii="Avenir Next LT Pro" w:hAnsi="Avenir Next LT Pro"/>
        <w:color w:val="281F6B"/>
        <w:sz w:val="20"/>
        <w:lang w:val="en-US"/>
      </w:rPr>
    </w:pPr>
    <w:r>
      <w:rPr>
        <w:noProof/>
        <w:sz w:val="2"/>
        <w:szCs w:val="2"/>
      </w:rPr>
      <mc:AlternateContent>
        <mc:Choice Requires="wps">
          <w:drawing>
            <wp:anchor distT="0" distB="0" distL="0" distR="0" simplePos="0" relativeHeight="251659267" behindDoc="0" locked="0" layoutInCell="1" allowOverlap="1" wp14:anchorId="22FE506B" wp14:editId="69E630EC">
              <wp:simplePos x="635" y="635"/>
              <wp:positionH relativeFrom="page">
                <wp:align>center</wp:align>
              </wp:positionH>
              <wp:positionV relativeFrom="page">
                <wp:align>bottom</wp:align>
              </wp:positionV>
              <wp:extent cx="1708150" cy="357505"/>
              <wp:effectExtent l="0" t="0" r="6350" b="0"/>
              <wp:wrapNone/>
              <wp:docPr id="161554301" name="Text Box 1"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08150" cy="357505"/>
                      </a:xfrm>
                      <a:prstGeom prst="rect">
                        <a:avLst/>
                      </a:prstGeom>
                      <a:noFill/>
                      <a:ln>
                        <a:noFill/>
                      </a:ln>
                    </wps:spPr>
                    <wps:txbx>
                      <w:txbxContent>
                        <w:p w14:paraId="5CD55694" w14:textId="7F674647" w:rsidR="00CA5942" w:rsidRPr="00CA5942" w:rsidRDefault="00CA5942" w:rsidP="00CA5942">
                          <w:pPr>
                            <w:spacing w:after="0"/>
                            <w:rPr>
                              <w:rFonts w:ascii="Calibri" w:eastAsia="Calibri" w:hAnsi="Calibri" w:cs="Calibri"/>
                              <w:noProof/>
                              <w:color w:val="0000FF"/>
                              <w:sz w:val="20"/>
                              <w:szCs w:val="20"/>
                            </w:rPr>
                          </w:pPr>
                          <w:r w:rsidRPr="00CA5942">
                            <w:rPr>
                              <w:rFonts w:ascii="Calibri" w:eastAsia="Calibri" w:hAnsi="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FE506B" id="_x0000_t202" coordsize="21600,21600" o:spt="202" path="m,l,21600r21600,l21600,xe">
              <v:stroke joinstyle="miter"/>
              <v:path gradientshapeok="t" o:connecttype="rect"/>
            </v:shapetype>
            <v:shape id="Text Box 1" o:spid="_x0000_s1028" type="#_x0000_t202" alt="Restricted Use - À usage restreint" style="position:absolute;margin-left:0;margin-top:0;width:134.5pt;height:28.15pt;z-index:25165926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96JDgIAAB0EAAAOAAAAZHJzL2Uyb0RvYy54bWysU8Fu2zAMvQ/YPwi6L3YyZO2MOEXWIsOA&#10;oC2QDj0rshQbkEWBUmJnXz9KjpOt22nYRaZJ6pF8fFrc9a1hR4W+AVvy6STnTFkJVWP3Jf/+sv5w&#10;y5kPwlbCgFUlPynP75bv3y06V6gZ1GAqhYxArC86V/I6BFdkmZe1aoWfgFOWghqwFYF+cZ9VKDpC&#10;b002y/NPWQdYOQSpvCfvwxDky4SvtZLhSWuvAjMlp95COjGdu3hmy4Uo9ihc3chzG+IfumhFY6no&#10;BepBBMEO2PwB1TYSwYMOEwltBlo3UqUZaJpp/maabS2cSrMQOd5daPL/D1Y+HrfuGVnov0BPC4yE&#10;dM4Xnpxxnl5jG7/UKaM4UXi60Kb6wGS8dJPfTucUkhT7OL+Z5/MIk11vO/Thq4KWRaPkSGtJbInj&#10;xochdUyJxSysG2PSaoz9zUGY0ZNdW4xW6Hc9a6qSz8b2d1CdaCqEYeHeyXVDpTfCh2eBtGHqllQb&#10;nujQBrqSw9nirAb88Td/zCfiKcpZR4opuSVJc2a+WVpIFNdo4GjskjH9nM9zittDew+kwyk9CSeT&#10;SV4MZjQ1QvtKel7FQhQSVlK5ku9G8z4M0qX3INVqlZJIR06Ejd06GaEjXZHLl/5VoDsTHmhVjzDK&#10;SRRveB9y403vVodA7KelRGoHIs+MkwbTWs/vJYr81/+UdX3Vy58AAAD//wMAUEsDBBQABgAIAAAA&#10;IQDCXApg2gAAAAQBAAAPAAAAZHJzL2Rvd25yZXYueG1sTI9Na8MwDIbvg/0Ho8Fuq7OEhS6LU0qh&#10;p45BPy67ubaaZIvlEDtt+u+n7bJeBC+vePSoXEyuE2ccQutJwfMsAYFkvG2pVnDYr5/mIELUZHXn&#10;CRVcMcCiur8rdWH9hbZ43sVaMIRCoRU0MfaFlME06HSY+R6Ju5MfnI4ch1raQV8Y7jqZJkkunW6J&#10;LzS6x1WD5ns3OgUv2/g+ftA++5zS69emX5nstDFKPT5MyzcQEaf4vwy/+qwOFTsd/Ug2iE4BPxL/&#10;Jndp/srxyOA8A1mV8la++gEAAP//AwBQSwECLQAUAAYACAAAACEAtoM4kv4AAADhAQAAEwAAAAAA&#10;AAAAAAAAAAAAAAAAW0NvbnRlbnRfVHlwZXNdLnhtbFBLAQItABQABgAIAAAAIQA4/SH/1gAAAJQB&#10;AAALAAAAAAAAAAAAAAAAAC8BAABfcmVscy8ucmVsc1BLAQItABQABgAIAAAAIQChr96JDgIAAB0E&#10;AAAOAAAAAAAAAAAAAAAAAC4CAABkcnMvZTJvRG9jLnhtbFBLAQItABQABgAIAAAAIQDCXApg2gAA&#10;AAQBAAAPAAAAAAAAAAAAAAAAAGgEAABkcnMvZG93bnJldi54bWxQSwUGAAAAAAQABADzAAAAbwUA&#10;AAAA&#10;" filled="f" stroked="f">
              <v:textbox style="mso-fit-shape-to-text:t" inset="0,0,0,15pt">
                <w:txbxContent>
                  <w:p w14:paraId="5CD55694" w14:textId="7F674647" w:rsidR="00CA5942" w:rsidRPr="00CA5942" w:rsidRDefault="00CA5942" w:rsidP="00CA5942">
                    <w:pPr>
                      <w:spacing w:after="0"/>
                      <w:rPr>
                        <w:rFonts w:ascii="Calibri" w:eastAsia="Calibri" w:hAnsi="Calibri" w:cs="Calibri"/>
                        <w:noProof/>
                        <w:color w:val="0000FF"/>
                        <w:sz w:val="20"/>
                        <w:szCs w:val="20"/>
                      </w:rPr>
                    </w:pPr>
                    <w:r w:rsidRPr="00CA5942">
                      <w:rPr>
                        <w:rFonts w:ascii="Calibri" w:eastAsia="Calibri" w:hAnsi="Calibri" w:cs="Calibri"/>
                        <w:noProof/>
                        <w:color w:val="0000FF"/>
                        <w:sz w:val="20"/>
                        <w:szCs w:val="20"/>
                      </w:rPr>
                      <w:t>Restricted Use - À usage restreint</w:t>
                    </w:r>
                  </w:p>
                </w:txbxContent>
              </v:textbox>
              <w10:wrap anchorx="page" anchory="page"/>
            </v:shape>
          </w:pict>
        </mc:Fallback>
      </mc:AlternateContent>
    </w:r>
    <w:r w:rsidR="00CD1569" w:rsidRPr="00B94317">
      <w:rPr>
        <w:noProof/>
        <w:sz w:val="2"/>
        <w:szCs w:val="2"/>
      </w:rPr>
      <mc:AlternateContent>
        <mc:Choice Requires="wps">
          <w:drawing>
            <wp:anchor distT="0" distB="0" distL="114300" distR="114300" simplePos="0" relativeHeight="251658242" behindDoc="0" locked="0" layoutInCell="1" allowOverlap="1" wp14:anchorId="6EB1E432" wp14:editId="2A127FE7">
              <wp:simplePos x="0" y="0"/>
              <wp:positionH relativeFrom="column">
                <wp:posOffset>-13335</wp:posOffset>
              </wp:positionH>
              <wp:positionV relativeFrom="paragraph">
                <wp:posOffset>-184463</wp:posOffset>
              </wp:positionV>
              <wp:extent cx="5724000" cy="0"/>
              <wp:effectExtent l="0" t="0" r="0" b="0"/>
              <wp:wrapNone/>
              <wp:docPr id="846086934"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4000" cy="0"/>
                      </a:xfrm>
                      <a:prstGeom prst="line">
                        <a:avLst/>
                      </a:prstGeom>
                      <a:ln w="6350">
                        <a:gradFill flip="none" rotWithShape="1">
                          <a:gsLst>
                            <a:gs pos="100000">
                              <a:schemeClr val="accent2"/>
                            </a:gs>
                            <a:gs pos="50000">
                              <a:schemeClr val="accent4"/>
                            </a:gs>
                            <a:gs pos="75000">
                              <a:schemeClr val="accent3"/>
                            </a:gs>
                            <a:gs pos="25000">
                              <a:schemeClr val="accent5"/>
                            </a:gs>
                            <a:gs pos="0">
                              <a:schemeClr val="accent6"/>
                            </a:gs>
                          </a:gsLst>
                          <a:path path="circle">
                            <a:fillToRect l="100000" t="100000"/>
                          </a:path>
                          <a:tileRect r="-100000" b="-100000"/>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9D113ED" id="Straight Connector 16"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pt,-14.5pt" to="449.6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bjOQIAAH4FAAAOAAAAZHJzL2Uyb0RvYy54bWysVMlu2zAQvRfoPxC8x5Kd2CkEyzkkSC9B&#10;GyQpcmYo0iJKkQTJWvLfd4ZaajSqgRa9EFzmzfLmDbc3XaPJQfigrCnpcpFTIgy3lTL7kn57ub/4&#10;REmIzFRMWyNKehSB3uw+fti2rhArW1tdCU/AiQlF60pax+iKLAu8Fg0LC+uEgUdpfcMiHP0+qzxr&#10;wXujs1Web7LW+sp5y0UIcHvXP9Jd8i+l4PGrlEFEoksKucW0+rS+4ZrttqzYe+ZqxYc02D9k0TBl&#10;IOjk6o5FRn549c5Vo7i3wcq44LbJrJSKi1QDVLPMf6vmuWZOpFqAnOAmmsL/c8u/HG7No8fUeWee&#10;3YPl3wOQkrUuFNMjHoLrzTrpGzSH3EmXiDxORIouEg6X6+vVVZ4D33x8y1gxAp0P8bOwDcFNSbUy&#10;WCMr2OEhRAzNitEEr7UhbUk3l+t8JLi6V1oTqRXoxYCqKPE2vqpYJ75Ahb1hAHfoYB+Is0DZEjKC&#10;nPAqyUvcak8ODITBOBcmrlAMEHwfTlHr86CrWdA1ov4c6XIWtDoPWs+CzkTZnABSWQMfjsWa4FJS&#10;rjzXPfsSOH2xTzAwOCoDVzgvw3ZoDMCQnai0SLYwShejMQzUuB+Y9Cz1KtGqzaCqXkhJUvGoBbrT&#10;5klIoiqQTt+82QYth4KSNcIw5wl4hokRONgjVKS/4W/AEyJFtiZO4EYZ6+e6Hbspcm8/MtDXjRS8&#10;2er46JEuPMGQJ66GDwl/kdNzsvr1be5+AgAA//8DAFBLAwQUAAYACAAAACEAo/kiM90AAAAKAQAA&#10;DwAAAGRycy9kb3ducmV2LnhtbEyPQUvDQBCF74L/YRnBW7tpBZvEbIoIHgTBGj143CbTJLo7G3e3&#10;Sfz3nYKgp2HmPd58r9jO1ogRfegdKVgtExBItWt6ahW8vz0uUhAhamq0cYQKfjDAtry8KHTeuIle&#10;caxiKziEQq4VdDEOuZSh7tDqsHQDEmsH562OvPpWNl5PHG6NXCfJrbS6J/7Q6QEfOqy/qqPlFNp8&#10;H2bjP3Yvz11aTZ/4NG5Qqeur+f4ORMQ5/pnhjM/oUDLT3h2pCcIoWKxX7DzPjDuxIc2yGxD734ss&#10;C/m/QnkCAAD//wMAUEsBAi0AFAAGAAgAAAAhALaDOJL+AAAA4QEAABMAAAAAAAAAAAAAAAAAAAAA&#10;AFtDb250ZW50X1R5cGVzXS54bWxQSwECLQAUAAYACAAAACEAOP0h/9YAAACUAQAACwAAAAAAAAAA&#10;AAAAAAAvAQAAX3JlbHMvLnJlbHNQSwECLQAUAAYACAAAACEAad/24zkCAAB+BQAADgAAAAAAAAAA&#10;AAAAAAAuAgAAZHJzL2Uyb0RvYy54bWxQSwECLQAUAAYACAAAACEAo/kiM90AAAAKAQAADwAAAAAA&#10;AAAAAAAAAACTBAAAZHJzL2Rvd25yZXYueG1sUEsFBgAAAAAEAAQA8wAAAJ0FAAAAAA==&#10;" strokeweight=".5pt">
              <v:stroke joinstyle="miter"/>
              <o:lock v:ext="edit" shapetype="f"/>
            </v:line>
          </w:pict>
        </mc:Fallback>
      </mc:AlternateContent>
    </w:r>
    <w:r w:rsidR="005209AB" w:rsidRPr="005209AB">
      <w:rPr>
        <w:rFonts w:ascii="Avenir Next LT Pro" w:hAnsi="Avenir Next LT Pro"/>
        <w:noProof/>
        <w:color w:val="281F6B"/>
        <w:sz w:val="20"/>
        <w:lang w:val="fr-FR"/>
      </w:rPr>
      <w:drawing>
        <wp:anchor distT="0" distB="0" distL="114300" distR="114300" simplePos="0" relativeHeight="251658241" behindDoc="0" locked="0" layoutInCell="1" allowOverlap="1" wp14:anchorId="6BEB1537" wp14:editId="43BBA6B1">
          <wp:simplePos x="0" y="0"/>
          <wp:positionH relativeFrom="column">
            <wp:posOffset>2038350</wp:posOffset>
          </wp:positionH>
          <wp:positionV relativeFrom="paragraph">
            <wp:posOffset>-18415</wp:posOffset>
          </wp:positionV>
          <wp:extent cx="196040" cy="540000"/>
          <wp:effectExtent l="0" t="0" r="0" b="0"/>
          <wp:wrapNone/>
          <wp:docPr id="287309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51292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96040" cy="540000"/>
                  </a:xfrm>
                  <a:prstGeom prst="rect">
                    <a:avLst/>
                  </a:prstGeom>
                </pic:spPr>
              </pic:pic>
            </a:graphicData>
          </a:graphic>
          <wp14:sizeRelH relativeFrom="page">
            <wp14:pctWidth>0</wp14:pctWidth>
          </wp14:sizeRelH>
          <wp14:sizeRelV relativeFrom="page">
            <wp14:pctHeight>0</wp14:pctHeight>
          </wp14:sizeRelV>
        </wp:anchor>
      </w:drawing>
    </w:r>
    <w:r w:rsidR="00C62388" w:rsidRPr="005209AB">
      <w:rPr>
        <w:rFonts w:ascii="Avenir Next LT Pro" w:hAnsi="Avenir Next LT Pro"/>
        <w:i/>
        <w:iCs/>
        <w:color w:val="281F6B"/>
        <w:sz w:val="20"/>
        <w:lang w:val="en-US"/>
      </w:rPr>
      <w:t>Business at OECD</w:t>
    </w:r>
    <w:r w:rsidR="00C62388" w:rsidRPr="005209AB">
      <w:rPr>
        <w:rFonts w:ascii="Avenir Next LT Pro" w:hAnsi="Avenir Next LT Pro"/>
        <w:color w:val="281F6B"/>
        <w:sz w:val="20"/>
        <w:lang w:val="en-US"/>
      </w:rPr>
      <w:t xml:space="preserve"> (BIAC)</w:t>
    </w:r>
    <w:r w:rsidR="00C62388" w:rsidRPr="005209AB">
      <w:rPr>
        <w:rFonts w:ascii="Avenir Next LT Pro" w:hAnsi="Avenir Next LT Pro"/>
        <w:color w:val="281F6B"/>
        <w:sz w:val="20"/>
        <w:lang w:val="en-US"/>
      </w:rPr>
      <w:tab/>
    </w:r>
    <w:r w:rsidR="005209AB">
      <w:rPr>
        <w:rFonts w:ascii="Avenir Next LT Pro" w:hAnsi="Avenir Next LT Pro"/>
        <w:color w:val="281F6B"/>
        <w:sz w:val="20"/>
        <w:lang w:val="en-US"/>
      </w:rPr>
      <w:tab/>
    </w:r>
    <w:r w:rsidR="003D0809" w:rsidRPr="005209AB">
      <w:rPr>
        <w:rFonts w:ascii="Avenir Next LT Pro" w:hAnsi="Avenir Next LT Pro"/>
        <w:color w:val="281F6B"/>
        <w:sz w:val="20"/>
        <w:lang w:val="en-US"/>
      </w:rPr>
      <w:t>www.businessatoecd.org</w:t>
    </w:r>
    <w:r w:rsidR="006A7DE0" w:rsidRPr="005209AB">
      <w:rPr>
        <w:rStyle w:val="Hyperlink"/>
        <w:rFonts w:ascii="Avenir Next LT Pro" w:hAnsi="Avenir Next LT Pro"/>
        <w:color w:val="281F6B"/>
        <w:sz w:val="20"/>
        <w:u w:val="none"/>
        <w:lang w:val="en-US"/>
      </w:rPr>
      <w:tab/>
    </w:r>
    <w:r w:rsidR="003D0809" w:rsidRPr="005209AB">
      <w:rPr>
        <w:rStyle w:val="Hyperlink"/>
        <w:rFonts w:ascii="Avenir Next LT Pro" w:hAnsi="Avenir Next LT Pro"/>
        <w:color w:val="281F6B"/>
        <w:sz w:val="20"/>
        <w:u w:val="none"/>
        <w:lang w:val="en-US"/>
      </w:rPr>
      <w:t xml:space="preserve">   </w:t>
    </w:r>
    <w:r w:rsidR="003D0809" w:rsidRPr="005209AB">
      <w:rPr>
        <w:rStyle w:val="Hyperlink"/>
        <w:rFonts w:ascii="Avenir Next LT Pro" w:hAnsi="Avenir Next LT Pro"/>
        <w:color w:val="281F6B"/>
        <w:sz w:val="6"/>
        <w:szCs w:val="6"/>
        <w:u w:val="none"/>
        <w:lang w:val="en-US"/>
      </w:rPr>
      <w:t xml:space="preserve">     </w:t>
    </w:r>
    <w:r w:rsidR="006A7DE0" w:rsidRPr="005209AB">
      <w:rPr>
        <w:rFonts w:ascii="Avenir Next LT Pro" w:hAnsi="Avenir Next LT Pro"/>
        <w:color w:val="281F6B"/>
        <w:sz w:val="20"/>
        <w:lang w:val="en-US"/>
      </w:rPr>
      <w:t>Tel: +33 (0)1 42 30 09 60</w:t>
    </w:r>
  </w:p>
  <w:p w14:paraId="13A55EB5" w14:textId="031DC7C0" w:rsidR="00C62388" w:rsidRPr="005209AB" w:rsidRDefault="00C62388" w:rsidP="00C62388">
    <w:pPr>
      <w:pStyle w:val="a"/>
      <w:rPr>
        <w:rFonts w:ascii="Avenir Next LT Pro" w:hAnsi="Avenir Next LT Pro"/>
        <w:color w:val="281F6B"/>
        <w:sz w:val="20"/>
        <w:lang w:val="fr-FR"/>
      </w:rPr>
    </w:pPr>
    <w:r w:rsidRPr="005209AB">
      <w:rPr>
        <w:rFonts w:ascii="Avenir Next LT Pro" w:hAnsi="Avenir Next LT Pro"/>
        <w:color w:val="281F6B"/>
        <w:sz w:val="20"/>
        <w:lang w:val="fr-FR"/>
      </w:rPr>
      <w:t>13/15, Chaussée de la M</w:t>
    </w:r>
    <w:r w:rsidR="005209AB">
      <w:rPr>
        <w:rFonts w:ascii="Avenir Next LT Pro" w:hAnsi="Avenir Next LT Pro"/>
        <w:color w:val="281F6B"/>
        <w:sz w:val="20"/>
        <w:lang w:val="fr-FR"/>
      </w:rPr>
      <w:t>uette</w:t>
    </w:r>
    <w:r w:rsidR="005209AB">
      <w:rPr>
        <w:rFonts w:ascii="Avenir Next LT Pro" w:hAnsi="Avenir Next LT Pro"/>
        <w:color w:val="281F6B"/>
        <w:sz w:val="20"/>
        <w:lang w:val="fr-FR"/>
      </w:rPr>
      <w:tab/>
    </w:r>
    <w:r w:rsidR="005209AB">
      <w:rPr>
        <w:rFonts w:ascii="Avenir Next LT Pro" w:hAnsi="Avenir Next LT Pro"/>
        <w:color w:val="281F6B"/>
        <w:sz w:val="20"/>
        <w:lang w:val="fr-FR"/>
      </w:rPr>
      <w:tab/>
    </w:r>
    <w:r w:rsidRPr="005209AB">
      <w:rPr>
        <w:rFonts w:ascii="Avenir Next LT Pro" w:hAnsi="Avenir Next LT Pro"/>
        <w:color w:val="281F6B"/>
        <w:sz w:val="20"/>
        <w:lang w:val="fr-FR"/>
      </w:rPr>
      <w:t>@</w:t>
    </w:r>
    <w:r w:rsidRPr="005209AB">
      <w:rPr>
        <w:rFonts w:ascii="Avenir Next LT Pro" w:hAnsi="Avenir Next LT Pro"/>
        <w:color w:val="281F6B"/>
        <w:sz w:val="20"/>
      </w:rPr>
      <w:t>BusinessatOECD</w:t>
    </w:r>
    <w:r w:rsidR="006A7DE0" w:rsidRPr="005209AB">
      <w:rPr>
        <w:rFonts w:ascii="Avenir Next LT Pro" w:hAnsi="Avenir Next LT Pro"/>
        <w:color w:val="281F6B"/>
        <w:sz w:val="20"/>
        <w:lang w:val="fr-FR"/>
      </w:rPr>
      <w:tab/>
    </w:r>
    <w:r w:rsidR="005209AB" w:rsidRPr="005209AB">
      <w:rPr>
        <w:rFonts w:ascii="Avenir Next LT Pro" w:hAnsi="Avenir Next LT Pro"/>
        <w:color w:val="281F6B"/>
        <w:sz w:val="20"/>
        <w:lang w:val="fr-FR"/>
      </w:rPr>
      <w:tab/>
      <w:t xml:space="preserve"> </w:t>
    </w:r>
    <w:r w:rsidR="004F76A6">
      <w:rPr>
        <w:rFonts w:ascii="Avenir Next LT Pro" w:hAnsi="Avenir Next LT Pro"/>
        <w:color w:val="281F6B"/>
        <w:sz w:val="20"/>
        <w:lang w:val="fr-FR"/>
      </w:rPr>
      <w:t xml:space="preserve"> </w:t>
    </w:r>
    <w:r w:rsidR="005209AB">
      <w:rPr>
        <w:rFonts w:ascii="Avenir Next LT Pro" w:hAnsi="Avenir Next LT Pro"/>
        <w:color w:val="281F6B"/>
        <w:sz w:val="20"/>
        <w:lang w:val="fr-FR"/>
      </w:rPr>
      <w:t>communications@biac.org</w:t>
    </w:r>
  </w:p>
  <w:p w14:paraId="09B513C5" w14:textId="0B23FDD5" w:rsidR="00C62388" w:rsidRPr="00CD1569" w:rsidRDefault="00C62388" w:rsidP="006A7DE0">
    <w:pPr>
      <w:pStyle w:val="a"/>
      <w:rPr>
        <w:rFonts w:ascii="Avenir Next LT Pro" w:hAnsi="Avenir Next LT Pro"/>
        <w:color w:val="281F6B"/>
        <w:sz w:val="20"/>
        <w:lang w:val="en-GB"/>
      </w:rPr>
    </w:pPr>
    <w:r w:rsidRPr="005209AB">
      <w:rPr>
        <w:rFonts w:ascii="Avenir Next LT Pro" w:hAnsi="Avenir Next LT Pro"/>
        <w:color w:val="281F6B"/>
        <w:sz w:val="20"/>
        <w:lang w:val="en-US"/>
      </w:rPr>
      <w:t>75016 Paris, France</w:t>
    </w:r>
    <w:r w:rsidRPr="005209AB">
      <w:rPr>
        <w:rFonts w:ascii="Avenir Next LT Pro" w:hAnsi="Avenir Next LT Pro"/>
        <w:color w:val="281F6B"/>
        <w:sz w:val="20"/>
        <w:lang w:val="en-US"/>
      </w:rPr>
      <w:tab/>
    </w:r>
    <w:r w:rsidR="005209AB">
      <w:rPr>
        <w:rFonts w:ascii="Avenir Next LT Pro" w:hAnsi="Avenir Next LT Pro"/>
        <w:color w:val="281F6B"/>
        <w:sz w:val="20"/>
        <w:lang w:val="en-US"/>
      </w:rPr>
      <w:tab/>
    </w:r>
    <w:r w:rsidR="005209AB">
      <w:rPr>
        <w:rFonts w:ascii="Avenir Next LT Pro" w:hAnsi="Avenir Next LT Pro"/>
        <w:color w:val="281F6B"/>
        <w:sz w:val="20"/>
        <w:lang w:val="en-US"/>
      </w:rPr>
      <w:tab/>
    </w:r>
    <w:r w:rsidR="006A7DE0" w:rsidRPr="00CD1569">
      <w:rPr>
        <w:rFonts w:ascii="Avenir Next LT Pro" w:hAnsi="Avenir Next LT Pro"/>
        <w:color w:val="281F6B"/>
        <w:sz w:val="20"/>
      </w:rPr>
      <w:t>Business at OECD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E60E4" w14:textId="77777777" w:rsidR="000D3212" w:rsidRDefault="000D3212" w:rsidP="00C35E5D">
      <w:pPr>
        <w:spacing w:after="0" w:line="240" w:lineRule="auto"/>
      </w:pPr>
      <w:r>
        <w:separator/>
      </w:r>
    </w:p>
  </w:footnote>
  <w:footnote w:type="continuationSeparator" w:id="0">
    <w:p w14:paraId="5F481C4B" w14:textId="77777777" w:rsidR="000D3212" w:rsidRDefault="000D3212" w:rsidP="00C35E5D">
      <w:pPr>
        <w:spacing w:after="0" w:line="240" w:lineRule="auto"/>
      </w:pPr>
      <w:r>
        <w:continuationSeparator/>
      </w:r>
    </w:p>
  </w:footnote>
  <w:footnote w:type="continuationNotice" w:id="1">
    <w:p w14:paraId="7A6CC7A8" w14:textId="77777777" w:rsidR="000D3212" w:rsidRDefault="000D32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5B1D6" w14:textId="77777777" w:rsidR="000C76A9" w:rsidRDefault="000C76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98C49" w14:textId="77777777" w:rsidR="000C76A9" w:rsidRDefault="000C76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7E5F" w14:textId="61794F78" w:rsidR="00C35E5D" w:rsidRDefault="00C35E5D">
    <w:pPr>
      <w:pStyle w:val="Header"/>
    </w:pPr>
    <w:r>
      <w:rPr>
        <w:noProof/>
      </w:rPr>
      <w:drawing>
        <wp:anchor distT="0" distB="0" distL="114300" distR="114300" simplePos="0" relativeHeight="251658240" behindDoc="1" locked="0" layoutInCell="1" allowOverlap="1" wp14:anchorId="05EAA91B" wp14:editId="61C0E3D9">
          <wp:simplePos x="0" y="0"/>
          <wp:positionH relativeFrom="column">
            <wp:posOffset>-189865</wp:posOffset>
          </wp:positionH>
          <wp:positionV relativeFrom="paragraph">
            <wp:posOffset>-30793</wp:posOffset>
          </wp:positionV>
          <wp:extent cx="6245225" cy="1033145"/>
          <wp:effectExtent l="0" t="0" r="0" b="0"/>
          <wp:wrapSquare wrapText="bothSides"/>
          <wp:docPr id="120881822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5225" cy="10331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694A"/>
    <w:multiLevelType w:val="hybridMultilevel"/>
    <w:tmpl w:val="0518D200"/>
    <w:lvl w:ilvl="0" w:tplc="5882D28C">
      <w:numFmt w:val="bullet"/>
      <w:lvlText w:val="-"/>
      <w:lvlJc w:val="left"/>
      <w:pPr>
        <w:ind w:left="720" w:hanging="360"/>
      </w:pPr>
      <w:rPr>
        <w:rFonts w:ascii="Avenir Next LT Pro" w:eastAsiaTheme="minorHAnsi" w:hAnsi="Avenir Next LT Pro"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69128FC"/>
    <w:multiLevelType w:val="hybridMultilevel"/>
    <w:tmpl w:val="FEA0D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96736"/>
    <w:multiLevelType w:val="hybridMultilevel"/>
    <w:tmpl w:val="A87C36E6"/>
    <w:lvl w:ilvl="0" w:tplc="04090001">
      <w:start w:val="1"/>
      <w:numFmt w:val="bullet"/>
      <w:lvlText w:val=""/>
      <w:lvlJc w:val="left"/>
      <w:pPr>
        <w:ind w:left="785" w:hanging="360"/>
      </w:pPr>
      <w:rPr>
        <w:rFonts w:ascii="Symbol" w:hAnsi="Symbol" w:hint="default"/>
      </w:rPr>
    </w:lvl>
    <w:lvl w:ilvl="1" w:tplc="04090003">
      <w:start w:val="1"/>
      <w:numFmt w:val="bullet"/>
      <w:lvlText w:val="o"/>
      <w:lvlJc w:val="left"/>
      <w:pPr>
        <w:ind w:left="1505" w:hanging="360"/>
      </w:pPr>
      <w:rPr>
        <w:rFonts w:ascii="Courier New" w:hAnsi="Courier New" w:cs="Courier New" w:hint="default"/>
      </w:rPr>
    </w:lvl>
    <w:lvl w:ilvl="2" w:tplc="04090005">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3" w15:restartNumberingAfterBreak="0">
    <w:nsid w:val="3A0D31ED"/>
    <w:multiLevelType w:val="hybridMultilevel"/>
    <w:tmpl w:val="0E60B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1F042F"/>
    <w:multiLevelType w:val="hybridMultilevel"/>
    <w:tmpl w:val="47725194"/>
    <w:lvl w:ilvl="0" w:tplc="55D40AF2">
      <w:start w:val="2"/>
      <w:numFmt w:val="bullet"/>
      <w:lvlText w:val="•"/>
      <w:lvlJc w:val="left"/>
      <w:pPr>
        <w:ind w:left="720" w:hanging="360"/>
      </w:pPr>
      <w:rPr>
        <w:rFonts w:ascii="Avenir Next LT Pro" w:eastAsiaTheme="minorHAnsi" w:hAnsi="Avenir Next LT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1974E5"/>
    <w:multiLevelType w:val="hybridMultilevel"/>
    <w:tmpl w:val="895E6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9C211C"/>
    <w:multiLevelType w:val="hybridMultilevel"/>
    <w:tmpl w:val="000AD5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F3C3A54"/>
    <w:multiLevelType w:val="hybridMultilevel"/>
    <w:tmpl w:val="3D5EBFD6"/>
    <w:lvl w:ilvl="0" w:tplc="74E60D14">
      <w:start w:val="9"/>
      <w:numFmt w:val="bullet"/>
      <w:lvlText w:val=""/>
      <w:lvlJc w:val="left"/>
      <w:pPr>
        <w:ind w:left="1440" w:hanging="360"/>
      </w:pPr>
      <w:rPr>
        <w:rFonts w:ascii="Wingdings" w:eastAsia="Meiryo UI" w:hAnsi="Wingdings"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310704C"/>
    <w:multiLevelType w:val="multilevel"/>
    <w:tmpl w:val="64FEF34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455826942">
    <w:abstractNumId w:val="1"/>
  </w:num>
  <w:num w:numId="2" w16cid:durableId="1860049205">
    <w:abstractNumId w:val="5"/>
  </w:num>
  <w:num w:numId="3" w16cid:durableId="1255431548">
    <w:abstractNumId w:val="4"/>
  </w:num>
  <w:num w:numId="4" w16cid:durableId="583681379">
    <w:abstractNumId w:val="3"/>
  </w:num>
  <w:num w:numId="5" w16cid:durableId="1573809773">
    <w:abstractNumId w:val="0"/>
  </w:num>
  <w:num w:numId="6" w16cid:durableId="1496871527">
    <w:abstractNumId w:val="2"/>
  </w:num>
  <w:num w:numId="7" w16cid:durableId="1790584318">
    <w:abstractNumId w:val="6"/>
  </w:num>
  <w:num w:numId="8" w16cid:durableId="831456754">
    <w:abstractNumId w:val="7"/>
  </w:num>
  <w:num w:numId="9" w16cid:durableId="646513236">
    <w:abstractNumId w:val="7"/>
  </w:num>
  <w:num w:numId="10" w16cid:durableId="7704674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A87"/>
    <w:rsid w:val="000126F8"/>
    <w:rsid w:val="00024351"/>
    <w:rsid w:val="00031809"/>
    <w:rsid w:val="0007754B"/>
    <w:rsid w:val="000807F1"/>
    <w:rsid w:val="0009125D"/>
    <w:rsid w:val="000B05C8"/>
    <w:rsid w:val="000B1392"/>
    <w:rsid w:val="000B1B67"/>
    <w:rsid w:val="000C76A9"/>
    <w:rsid w:val="000D05C4"/>
    <w:rsid w:val="000D2A76"/>
    <w:rsid w:val="000D2EB6"/>
    <w:rsid w:val="000D3212"/>
    <w:rsid w:val="000D5BDA"/>
    <w:rsid w:val="000E191E"/>
    <w:rsid w:val="000E4818"/>
    <w:rsid w:val="000E638C"/>
    <w:rsid w:val="000E7CEC"/>
    <w:rsid w:val="000F0D8F"/>
    <w:rsid w:val="000F65CE"/>
    <w:rsid w:val="000F66AC"/>
    <w:rsid w:val="000F6BAC"/>
    <w:rsid w:val="001133C6"/>
    <w:rsid w:val="00113893"/>
    <w:rsid w:val="00115972"/>
    <w:rsid w:val="00123F4E"/>
    <w:rsid w:val="00126793"/>
    <w:rsid w:val="0013278F"/>
    <w:rsid w:val="00153073"/>
    <w:rsid w:val="0017281F"/>
    <w:rsid w:val="00172E9C"/>
    <w:rsid w:val="00175638"/>
    <w:rsid w:val="0017694F"/>
    <w:rsid w:val="00185B83"/>
    <w:rsid w:val="00196456"/>
    <w:rsid w:val="001B1482"/>
    <w:rsid w:val="001C5AF6"/>
    <w:rsid w:val="001D3E90"/>
    <w:rsid w:val="001D489C"/>
    <w:rsid w:val="001D6E14"/>
    <w:rsid w:val="001F71F5"/>
    <w:rsid w:val="002002F5"/>
    <w:rsid w:val="0021048A"/>
    <w:rsid w:val="0022649A"/>
    <w:rsid w:val="002504C2"/>
    <w:rsid w:val="00272D93"/>
    <w:rsid w:val="002946D9"/>
    <w:rsid w:val="00295943"/>
    <w:rsid w:val="002A60EB"/>
    <w:rsid w:val="002B20C1"/>
    <w:rsid w:val="002C36CC"/>
    <w:rsid w:val="002C5524"/>
    <w:rsid w:val="002D2B5D"/>
    <w:rsid w:val="002D50C7"/>
    <w:rsid w:val="002E4A79"/>
    <w:rsid w:val="002E5A11"/>
    <w:rsid w:val="002E7F46"/>
    <w:rsid w:val="002F72DD"/>
    <w:rsid w:val="003153AE"/>
    <w:rsid w:val="0032610D"/>
    <w:rsid w:val="00355CF9"/>
    <w:rsid w:val="0035687D"/>
    <w:rsid w:val="0037226A"/>
    <w:rsid w:val="00377063"/>
    <w:rsid w:val="00384F32"/>
    <w:rsid w:val="00393490"/>
    <w:rsid w:val="00394796"/>
    <w:rsid w:val="00394A35"/>
    <w:rsid w:val="003A1353"/>
    <w:rsid w:val="003A1557"/>
    <w:rsid w:val="003A602F"/>
    <w:rsid w:val="003B2BB1"/>
    <w:rsid w:val="003D0809"/>
    <w:rsid w:val="003F1EE8"/>
    <w:rsid w:val="00413450"/>
    <w:rsid w:val="004213D1"/>
    <w:rsid w:val="00435CFE"/>
    <w:rsid w:val="00436CB8"/>
    <w:rsid w:val="00442B6F"/>
    <w:rsid w:val="0044644E"/>
    <w:rsid w:val="00451DDF"/>
    <w:rsid w:val="00476236"/>
    <w:rsid w:val="00484653"/>
    <w:rsid w:val="004907E0"/>
    <w:rsid w:val="004A6C39"/>
    <w:rsid w:val="004D2ADC"/>
    <w:rsid w:val="004E0C3C"/>
    <w:rsid w:val="004E5D07"/>
    <w:rsid w:val="004E6742"/>
    <w:rsid w:val="004F76A6"/>
    <w:rsid w:val="0052031F"/>
    <w:rsid w:val="005209AB"/>
    <w:rsid w:val="0052184C"/>
    <w:rsid w:val="00527BB1"/>
    <w:rsid w:val="00536455"/>
    <w:rsid w:val="00560267"/>
    <w:rsid w:val="00572493"/>
    <w:rsid w:val="005741D9"/>
    <w:rsid w:val="00576EE5"/>
    <w:rsid w:val="00580F1B"/>
    <w:rsid w:val="005829A5"/>
    <w:rsid w:val="00596CE3"/>
    <w:rsid w:val="00597D2D"/>
    <w:rsid w:val="005A317F"/>
    <w:rsid w:val="005D06BB"/>
    <w:rsid w:val="005D5B98"/>
    <w:rsid w:val="005F0EE1"/>
    <w:rsid w:val="005F4150"/>
    <w:rsid w:val="00600014"/>
    <w:rsid w:val="0061672A"/>
    <w:rsid w:val="00625AE0"/>
    <w:rsid w:val="00635B4E"/>
    <w:rsid w:val="00636B75"/>
    <w:rsid w:val="0064780B"/>
    <w:rsid w:val="00680B78"/>
    <w:rsid w:val="006A1F1C"/>
    <w:rsid w:val="006A7DE0"/>
    <w:rsid w:val="006B6DC5"/>
    <w:rsid w:val="006C108D"/>
    <w:rsid w:val="006C37EA"/>
    <w:rsid w:val="006D1FA3"/>
    <w:rsid w:val="006D76FD"/>
    <w:rsid w:val="006D7766"/>
    <w:rsid w:val="006F1006"/>
    <w:rsid w:val="00701278"/>
    <w:rsid w:val="0070240F"/>
    <w:rsid w:val="007171D3"/>
    <w:rsid w:val="00721011"/>
    <w:rsid w:val="007226D8"/>
    <w:rsid w:val="00723D53"/>
    <w:rsid w:val="00731F89"/>
    <w:rsid w:val="0074222F"/>
    <w:rsid w:val="00751C94"/>
    <w:rsid w:val="00772EB9"/>
    <w:rsid w:val="007739AD"/>
    <w:rsid w:val="007838D5"/>
    <w:rsid w:val="0078401F"/>
    <w:rsid w:val="007A44AA"/>
    <w:rsid w:val="007A6A87"/>
    <w:rsid w:val="007B5EEA"/>
    <w:rsid w:val="007C0602"/>
    <w:rsid w:val="007C062A"/>
    <w:rsid w:val="007C710D"/>
    <w:rsid w:val="007F0AE6"/>
    <w:rsid w:val="007F14F3"/>
    <w:rsid w:val="007F1551"/>
    <w:rsid w:val="007F33D6"/>
    <w:rsid w:val="00805812"/>
    <w:rsid w:val="008153D9"/>
    <w:rsid w:val="008356C0"/>
    <w:rsid w:val="008469FA"/>
    <w:rsid w:val="00867BFF"/>
    <w:rsid w:val="00884DEA"/>
    <w:rsid w:val="00891076"/>
    <w:rsid w:val="008B46A1"/>
    <w:rsid w:val="008C0309"/>
    <w:rsid w:val="008C4197"/>
    <w:rsid w:val="008D5FC4"/>
    <w:rsid w:val="008D67FD"/>
    <w:rsid w:val="008F53E0"/>
    <w:rsid w:val="00901F57"/>
    <w:rsid w:val="00925CC0"/>
    <w:rsid w:val="009311E9"/>
    <w:rsid w:val="00941086"/>
    <w:rsid w:val="00976A15"/>
    <w:rsid w:val="00976EBA"/>
    <w:rsid w:val="0098534A"/>
    <w:rsid w:val="00995C84"/>
    <w:rsid w:val="00997C55"/>
    <w:rsid w:val="009C2390"/>
    <w:rsid w:val="009E2A70"/>
    <w:rsid w:val="009E64C7"/>
    <w:rsid w:val="00A011B1"/>
    <w:rsid w:val="00A04D6F"/>
    <w:rsid w:val="00A057A2"/>
    <w:rsid w:val="00A314C9"/>
    <w:rsid w:val="00A40073"/>
    <w:rsid w:val="00A42C88"/>
    <w:rsid w:val="00A45242"/>
    <w:rsid w:val="00A64BBC"/>
    <w:rsid w:val="00A7257D"/>
    <w:rsid w:val="00A801C9"/>
    <w:rsid w:val="00AB1975"/>
    <w:rsid w:val="00AC6DF7"/>
    <w:rsid w:val="00AD3FF5"/>
    <w:rsid w:val="00AD595C"/>
    <w:rsid w:val="00AD6880"/>
    <w:rsid w:val="00AE3FF0"/>
    <w:rsid w:val="00AF4C95"/>
    <w:rsid w:val="00B15F50"/>
    <w:rsid w:val="00B2771C"/>
    <w:rsid w:val="00B33102"/>
    <w:rsid w:val="00B3347C"/>
    <w:rsid w:val="00B35E39"/>
    <w:rsid w:val="00B47180"/>
    <w:rsid w:val="00B50904"/>
    <w:rsid w:val="00B5326E"/>
    <w:rsid w:val="00B5515E"/>
    <w:rsid w:val="00B73CCA"/>
    <w:rsid w:val="00B74507"/>
    <w:rsid w:val="00B80983"/>
    <w:rsid w:val="00BB277C"/>
    <w:rsid w:val="00BB2C50"/>
    <w:rsid w:val="00BC1616"/>
    <w:rsid w:val="00BD060C"/>
    <w:rsid w:val="00BE7A98"/>
    <w:rsid w:val="00C03968"/>
    <w:rsid w:val="00C27997"/>
    <w:rsid w:val="00C35E5D"/>
    <w:rsid w:val="00C36575"/>
    <w:rsid w:val="00C51C48"/>
    <w:rsid w:val="00C53766"/>
    <w:rsid w:val="00C60A45"/>
    <w:rsid w:val="00C62388"/>
    <w:rsid w:val="00C65BEE"/>
    <w:rsid w:val="00C77452"/>
    <w:rsid w:val="00CA4035"/>
    <w:rsid w:val="00CA5942"/>
    <w:rsid w:val="00CC148D"/>
    <w:rsid w:val="00CD1569"/>
    <w:rsid w:val="00CE0516"/>
    <w:rsid w:val="00CF5E7B"/>
    <w:rsid w:val="00D02592"/>
    <w:rsid w:val="00D064BB"/>
    <w:rsid w:val="00D10207"/>
    <w:rsid w:val="00D1337E"/>
    <w:rsid w:val="00D142C4"/>
    <w:rsid w:val="00D16080"/>
    <w:rsid w:val="00D16E29"/>
    <w:rsid w:val="00D43C87"/>
    <w:rsid w:val="00D4524C"/>
    <w:rsid w:val="00D57230"/>
    <w:rsid w:val="00D62C0F"/>
    <w:rsid w:val="00D675FD"/>
    <w:rsid w:val="00D7286F"/>
    <w:rsid w:val="00D82E96"/>
    <w:rsid w:val="00D86667"/>
    <w:rsid w:val="00D965CD"/>
    <w:rsid w:val="00DA409A"/>
    <w:rsid w:val="00DC1E4F"/>
    <w:rsid w:val="00DC6A85"/>
    <w:rsid w:val="00DE6304"/>
    <w:rsid w:val="00DE6757"/>
    <w:rsid w:val="00DF2786"/>
    <w:rsid w:val="00E03F99"/>
    <w:rsid w:val="00E04BBB"/>
    <w:rsid w:val="00E05B3A"/>
    <w:rsid w:val="00E316DF"/>
    <w:rsid w:val="00E40109"/>
    <w:rsid w:val="00E42CC5"/>
    <w:rsid w:val="00E52D24"/>
    <w:rsid w:val="00E96A43"/>
    <w:rsid w:val="00EA1182"/>
    <w:rsid w:val="00EA2CC9"/>
    <w:rsid w:val="00F02A6F"/>
    <w:rsid w:val="00F03207"/>
    <w:rsid w:val="00F03DF9"/>
    <w:rsid w:val="00F203E0"/>
    <w:rsid w:val="00F3005B"/>
    <w:rsid w:val="00F42F3C"/>
    <w:rsid w:val="00F521E0"/>
    <w:rsid w:val="00F52C5C"/>
    <w:rsid w:val="00F568BE"/>
    <w:rsid w:val="00F71A24"/>
    <w:rsid w:val="00F86F83"/>
    <w:rsid w:val="00F91490"/>
    <w:rsid w:val="00F93B21"/>
    <w:rsid w:val="00F978BD"/>
    <w:rsid w:val="00FB3E93"/>
    <w:rsid w:val="00FC6DBD"/>
    <w:rsid w:val="00FD05C6"/>
    <w:rsid w:val="00FD3A92"/>
    <w:rsid w:val="00FE57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A91C7"/>
  <w15:chartTrackingRefBased/>
  <w15:docId w15:val="{F5EECFF0-84D1-4684-B84A-9026B4715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BB1"/>
    <w:pPr>
      <w:jc w:val="both"/>
    </w:pPr>
    <w:rPr>
      <w:rFonts w:ascii="Avenir Next LT Pro" w:hAnsi="Avenir Next LT Pro"/>
      <w:sz w:val="24"/>
    </w:rPr>
  </w:style>
  <w:style w:type="paragraph" w:styleId="Heading1">
    <w:name w:val="heading 1"/>
    <w:basedOn w:val="Normal"/>
    <w:next w:val="Normal"/>
    <w:link w:val="Heading1Char"/>
    <w:uiPriority w:val="9"/>
    <w:qFormat/>
    <w:rsid w:val="00C77452"/>
    <w:pPr>
      <w:keepNext/>
      <w:keepLines/>
      <w:spacing w:before="240" w:after="120"/>
      <w:outlineLvl w:val="0"/>
    </w:pPr>
    <w:rPr>
      <w:rFonts w:eastAsiaTheme="majorEastAsia" w:cstheme="majorBidi"/>
      <w:b/>
      <w:color w:val="281F6B"/>
      <w:sz w:val="20"/>
      <w:szCs w:val="32"/>
    </w:rPr>
  </w:style>
  <w:style w:type="paragraph" w:styleId="Heading2">
    <w:name w:val="heading 2"/>
    <w:basedOn w:val="Normal"/>
    <w:next w:val="Normal"/>
    <w:link w:val="Heading2Char"/>
    <w:uiPriority w:val="9"/>
    <w:unhideWhenUsed/>
    <w:qFormat/>
    <w:rsid w:val="00C77452"/>
    <w:pPr>
      <w:keepNext/>
      <w:keepLines/>
      <w:spacing w:after="240"/>
      <w:outlineLvl w:val="1"/>
    </w:pPr>
    <w:rPr>
      <w:rFonts w:eastAsiaTheme="majorEastAsia" w:cstheme="majorBidi"/>
      <w:color w:val="3256A7"/>
      <w:sz w:val="20"/>
      <w:szCs w:val="26"/>
    </w:rPr>
  </w:style>
  <w:style w:type="paragraph" w:styleId="Heading3">
    <w:name w:val="heading 3"/>
    <w:basedOn w:val="Normal"/>
    <w:next w:val="Normal"/>
    <w:link w:val="Heading3Char"/>
    <w:uiPriority w:val="9"/>
    <w:unhideWhenUsed/>
    <w:qFormat/>
    <w:rsid w:val="001D3E90"/>
    <w:pPr>
      <w:keepNext/>
      <w:keepLines/>
      <w:spacing w:before="240" w:after="240"/>
      <w:outlineLvl w:val="2"/>
    </w:pPr>
    <w:rPr>
      <w:rFonts w:eastAsiaTheme="majorEastAsia" w:cstheme="majorBidi"/>
      <w:i/>
      <w:color w:val="46A5BF"/>
      <w:sz w:val="20"/>
      <w:szCs w:val="24"/>
    </w:rPr>
  </w:style>
  <w:style w:type="paragraph" w:styleId="Heading4">
    <w:name w:val="heading 4"/>
    <w:basedOn w:val="Normal"/>
    <w:next w:val="Normal"/>
    <w:link w:val="Heading4Char"/>
    <w:uiPriority w:val="9"/>
    <w:unhideWhenUsed/>
    <w:qFormat/>
    <w:rsid w:val="00976EBA"/>
    <w:pPr>
      <w:keepNext/>
      <w:keepLines/>
      <w:spacing w:before="240" w:after="240"/>
      <w:outlineLvl w:val="3"/>
    </w:pPr>
    <w:rPr>
      <w:rFonts w:eastAsiaTheme="majorEastAsia" w:cstheme="majorBidi"/>
      <w:i/>
      <w:iCs/>
      <w:color w:val="67C07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452"/>
    <w:rPr>
      <w:rFonts w:ascii="Avenir Next LT Pro" w:eastAsiaTheme="majorEastAsia" w:hAnsi="Avenir Next LT Pro" w:cstheme="majorBidi"/>
      <w:b/>
      <w:color w:val="281F6B"/>
      <w:sz w:val="20"/>
      <w:szCs w:val="32"/>
    </w:rPr>
  </w:style>
  <w:style w:type="character" w:customStyle="1" w:styleId="Heading2Char">
    <w:name w:val="Heading 2 Char"/>
    <w:basedOn w:val="DefaultParagraphFont"/>
    <w:link w:val="Heading2"/>
    <w:uiPriority w:val="9"/>
    <w:rsid w:val="00C77452"/>
    <w:rPr>
      <w:rFonts w:ascii="Avenir Next LT Pro" w:eastAsiaTheme="majorEastAsia" w:hAnsi="Avenir Next LT Pro" w:cstheme="majorBidi"/>
      <w:color w:val="3256A7"/>
      <w:sz w:val="20"/>
      <w:szCs w:val="26"/>
    </w:rPr>
  </w:style>
  <w:style w:type="paragraph" w:styleId="NoSpacing">
    <w:name w:val="No Spacing"/>
    <w:uiPriority w:val="1"/>
    <w:qFormat/>
    <w:rsid w:val="00A057A2"/>
    <w:pPr>
      <w:spacing w:before="240" w:after="240" w:line="240" w:lineRule="auto"/>
      <w:jc w:val="both"/>
    </w:pPr>
    <w:rPr>
      <w:rFonts w:ascii="Avenir Next LT Pro" w:hAnsi="Avenir Next LT Pro"/>
    </w:rPr>
  </w:style>
  <w:style w:type="paragraph" w:styleId="Title">
    <w:name w:val="Title"/>
    <w:basedOn w:val="Normal"/>
    <w:next w:val="Normal"/>
    <w:link w:val="TitleChar"/>
    <w:uiPriority w:val="10"/>
    <w:qFormat/>
    <w:rsid w:val="00D86667"/>
    <w:pPr>
      <w:spacing w:after="240" w:line="240" w:lineRule="auto"/>
      <w:jc w:val="center"/>
    </w:pPr>
    <w:rPr>
      <w:rFonts w:eastAsiaTheme="majorEastAsia" w:cstheme="majorBidi"/>
      <w:b/>
      <w:color w:val="281F6B" w:themeColor="accent2"/>
      <w:kern w:val="28"/>
      <w:sz w:val="22"/>
      <w:szCs w:val="56"/>
    </w:rPr>
  </w:style>
  <w:style w:type="character" w:customStyle="1" w:styleId="TitleChar">
    <w:name w:val="Title Char"/>
    <w:basedOn w:val="DefaultParagraphFont"/>
    <w:link w:val="Title"/>
    <w:uiPriority w:val="10"/>
    <w:rsid w:val="00D86667"/>
    <w:rPr>
      <w:rFonts w:ascii="Avenir Next LT Pro" w:eastAsiaTheme="majorEastAsia" w:hAnsi="Avenir Next LT Pro" w:cstheme="majorBidi"/>
      <w:b/>
      <w:color w:val="281F6B" w:themeColor="accent2"/>
      <w:kern w:val="28"/>
      <w:szCs w:val="56"/>
    </w:rPr>
  </w:style>
  <w:style w:type="paragraph" w:styleId="Subtitle">
    <w:name w:val="Subtitle"/>
    <w:basedOn w:val="Normal"/>
    <w:next w:val="Normal"/>
    <w:link w:val="SubtitleChar"/>
    <w:uiPriority w:val="11"/>
    <w:qFormat/>
    <w:rsid w:val="00DC6A85"/>
    <w:pPr>
      <w:numPr>
        <w:ilvl w:val="1"/>
      </w:numPr>
      <w:spacing w:before="240" w:after="240" w:line="240" w:lineRule="auto"/>
    </w:pPr>
    <w:rPr>
      <w:rFonts w:eastAsiaTheme="minorEastAsia"/>
      <w:color w:val="5A5A5A" w:themeColor="text1" w:themeTint="A5"/>
      <w:sz w:val="20"/>
    </w:rPr>
  </w:style>
  <w:style w:type="character" w:customStyle="1" w:styleId="SubtitleChar">
    <w:name w:val="Subtitle Char"/>
    <w:basedOn w:val="DefaultParagraphFont"/>
    <w:link w:val="Subtitle"/>
    <w:uiPriority w:val="11"/>
    <w:rsid w:val="00DC6A85"/>
    <w:rPr>
      <w:rFonts w:ascii="Avenir Next LT Pro" w:eastAsiaTheme="minorEastAsia" w:hAnsi="Avenir Next LT Pro"/>
      <w:color w:val="5A5A5A" w:themeColor="text1" w:themeTint="A5"/>
      <w:sz w:val="20"/>
    </w:rPr>
  </w:style>
  <w:style w:type="character" w:styleId="SubtleEmphasis">
    <w:name w:val="Subtle Emphasis"/>
    <w:basedOn w:val="DefaultParagraphFont"/>
    <w:uiPriority w:val="19"/>
    <w:qFormat/>
    <w:rsid w:val="007A6A87"/>
    <w:rPr>
      <w:rFonts w:ascii="Avenir Next LT Pro" w:hAnsi="Avenir Next LT Pro"/>
      <w:i/>
      <w:iCs/>
      <w:color w:val="404040" w:themeColor="text1" w:themeTint="BF"/>
    </w:rPr>
  </w:style>
  <w:style w:type="character" w:styleId="Emphasis">
    <w:name w:val="Emphasis"/>
    <w:basedOn w:val="DefaultParagraphFont"/>
    <w:uiPriority w:val="20"/>
    <w:qFormat/>
    <w:rsid w:val="007A6A87"/>
    <w:rPr>
      <w:rFonts w:ascii="Avenir Next LT Pro" w:hAnsi="Avenir Next LT Pro"/>
      <w:i/>
      <w:iCs/>
    </w:rPr>
  </w:style>
  <w:style w:type="character" w:styleId="IntenseEmphasis">
    <w:name w:val="Intense Emphasis"/>
    <w:basedOn w:val="DefaultParagraphFont"/>
    <w:uiPriority w:val="21"/>
    <w:qFormat/>
    <w:rsid w:val="007A6A87"/>
    <w:rPr>
      <w:rFonts w:ascii="Avenir Next LT Pro" w:hAnsi="Avenir Next LT Pro"/>
      <w:i/>
      <w:iCs/>
      <w:color w:val="F9F9F5" w:themeColor="accent1"/>
    </w:rPr>
  </w:style>
  <w:style w:type="character" w:styleId="Strong">
    <w:name w:val="Strong"/>
    <w:basedOn w:val="DefaultParagraphFont"/>
    <w:uiPriority w:val="22"/>
    <w:qFormat/>
    <w:rsid w:val="007A6A87"/>
    <w:rPr>
      <w:rFonts w:ascii="Avenir Next LT Pro" w:hAnsi="Avenir Next LT Pro"/>
      <w:b/>
      <w:bCs/>
    </w:rPr>
  </w:style>
  <w:style w:type="paragraph" w:styleId="Quote">
    <w:name w:val="Quote"/>
    <w:basedOn w:val="Normal"/>
    <w:next w:val="Normal"/>
    <w:link w:val="QuoteChar"/>
    <w:uiPriority w:val="29"/>
    <w:qFormat/>
    <w:rsid w:val="007A6A8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A6A87"/>
    <w:rPr>
      <w:rFonts w:ascii="Avenir Next LT Pro" w:hAnsi="Avenir Next LT Pro"/>
      <w:i/>
      <w:iCs/>
      <w:color w:val="404040" w:themeColor="text1" w:themeTint="BF"/>
    </w:rPr>
  </w:style>
  <w:style w:type="paragraph" w:styleId="IntenseQuote">
    <w:name w:val="Intense Quote"/>
    <w:basedOn w:val="Normal"/>
    <w:next w:val="Normal"/>
    <w:link w:val="IntenseQuoteChar"/>
    <w:uiPriority w:val="30"/>
    <w:qFormat/>
    <w:rsid w:val="007A6A87"/>
    <w:pPr>
      <w:pBdr>
        <w:top w:val="single" w:sz="4" w:space="10" w:color="F9F9F5" w:themeColor="accent1"/>
        <w:bottom w:val="single" w:sz="4" w:space="10" w:color="F9F9F5" w:themeColor="accent1"/>
      </w:pBdr>
      <w:spacing w:before="360" w:after="360"/>
      <w:ind w:left="864" w:right="864"/>
      <w:jc w:val="center"/>
    </w:pPr>
    <w:rPr>
      <w:i/>
      <w:iCs/>
      <w:color w:val="F9F9F5" w:themeColor="accent1"/>
    </w:rPr>
  </w:style>
  <w:style w:type="character" w:customStyle="1" w:styleId="IntenseQuoteChar">
    <w:name w:val="Intense Quote Char"/>
    <w:basedOn w:val="DefaultParagraphFont"/>
    <w:link w:val="IntenseQuote"/>
    <w:uiPriority w:val="30"/>
    <w:rsid w:val="007A6A87"/>
    <w:rPr>
      <w:rFonts w:ascii="Avenir Next LT Pro" w:hAnsi="Avenir Next LT Pro"/>
      <w:i/>
      <w:iCs/>
      <w:color w:val="F9F9F5" w:themeColor="accent1"/>
    </w:rPr>
  </w:style>
  <w:style w:type="character" w:styleId="SubtleReference">
    <w:name w:val="Subtle Reference"/>
    <w:basedOn w:val="DefaultParagraphFont"/>
    <w:uiPriority w:val="31"/>
    <w:qFormat/>
    <w:rsid w:val="007A6A87"/>
    <w:rPr>
      <w:rFonts w:ascii="Avenir Next LT Pro" w:hAnsi="Avenir Next LT Pro"/>
      <w:smallCaps/>
      <w:color w:val="5A5A5A" w:themeColor="text1" w:themeTint="A5"/>
    </w:rPr>
  </w:style>
  <w:style w:type="character" w:styleId="IntenseReference">
    <w:name w:val="Intense Reference"/>
    <w:basedOn w:val="DefaultParagraphFont"/>
    <w:uiPriority w:val="32"/>
    <w:qFormat/>
    <w:rsid w:val="007A6A87"/>
    <w:rPr>
      <w:rFonts w:ascii="Avenir Next LT Pro" w:hAnsi="Avenir Next LT Pro"/>
      <w:b/>
      <w:bCs/>
      <w:smallCaps/>
      <w:color w:val="F9F9F5" w:themeColor="accent1"/>
      <w:spacing w:val="5"/>
    </w:rPr>
  </w:style>
  <w:style w:type="character" w:styleId="BookTitle">
    <w:name w:val="Book Title"/>
    <w:basedOn w:val="DefaultParagraphFont"/>
    <w:uiPriority w:val="33"/>
    <w:qFormat/>
    <w:rsid w:val="007A6A87"/>
    <w:rPr>
      <w:rFonts w:ascii="Avenir Next LT Pro" w:hAnsi="Avenir Next LT Pro"/>
      <w:b/>
      <w:bCs/>
      <w:i/>
      <w:iCs/>
      <w:spacing w:val="5"/>
    </w:rPr>
  </w:style>
  <w:style w:type="paragraph" w:styleId="ListParagraph">
    <w:name w:val="List Paragraph"/>
    <w:aliases w:val="Dot pt,No Spacing1,List Paragraph Char Char Char,Indicator Text,List Paragraph1,Numbered Para 1,Bullet 1,List Paragraph12,Bullet Style,Bullet Points,MAIN CONTENT,OBC Bullet,List Paragraph11,F5 List Paragraph,Colorful List - Accent 11,L"/>
    <w:basedOn w:val="Normal"/>
    <w:link w:val="ListParagraphChar"/>
    <w:uiPriority w:val="34"/>
    <w:qFormat/>
    <w:rsid w:val="007A6A87"/>
    <w:pPr>
      <w:ind w:left="720"/>
      <w:contextualSpacing/>
    </w:pPr>
  </w:style>
  <w:style w:type="character" w:customStyle="1" w:styleId="Heading3Char">
    <w:name w:val="Heading 3 Char"/>
    <w:basedOn w:val="DefaultParagraphFont"/>
    <w:link w:val="Heading3"/>
    <w:uiPriority w:val="9"/>
    <w:rsid w:val="001D3E90"/>
    <w:rPr>
      <w:rFonts w:ascii="Avenir Next LT Pro" w:eastAsiaTheme="majorEastAsia" w:hAnsi="Avenir Next LT Pro" w:cstheme="majorBidi"/>
      <w:i/>
      <w:color w:val="46A5BF"/>
      <w:sz w:val="20"/>
      <w:szCs w:val="24"/>
    </w:rPr>
  </w:style>
  <w:style w:type="character" w:customStyle="1" w:styleId="Heading4Char">
    <w:name w:val="Heading 4 Char"/>
    <w:basedOn w:val="DefaultParagraphFont"/>
    <w:link w:val="Heading4"/>
    <w:uiPriority w:val="9"/>
    <w:rsid w:val="00976EBA"/>
    <w:rPr>
      <w:rFonts w:ascii="Avenir Next LT Pro" w:eastAsiaTheme="majorEastAsia" w:hAnsi="Avenir Next LT Pro" w:cstheme="majorBidi"/>
      <w:i/>
      <w:iCs/>
      <w:color w:val="67C07D"/>
    </w:rPr>
  </w:style>
  <w:style w:type="paragraph" w:styleId="Header">
    <w:name w:val="header"/>
    <w:basedOn w:val="Normal"/>
    <w:link w:val="HeaderChar"/>
    <w:uiPriority w:val="99"/>
    <w:unhideWhenUsed/>
    <w:rsid w:val="00C35E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E5D"/>
    <w:rPr>
      <w:rFonts w:ascii="Avenir Next LT Pro" w:hAnsi="Avenir Next LT Pro"/>
    </w:rPr>
  </w:style>
  <w:style w:type="paragraph" w:styleId="Footer">
    <w:name w:val="footer"/>
    <w:basedOn w:val="Normal"/>
    <w:link w:val="FooterChar"/>
    <w:uiPriority w:val="99"/>
    <w:unhideWhenUsed/>
    <w:rsid w:val="00C35E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E5D"/>
    <w:rPr>
      <w:rFonts w:ascii="Avenir Next LT Pro" w:hAnsi="Avenir Next LT Pro"/>
    </w:rPr>
  </w:style>
  <w:style w:type="paragraph" w:customStyle="1" w:styleId="a">
    <w:name w:val="Одержувач"/>
    <w:basedOn w:val="Normal"/>
    <w:uiPriority w:val="2"/>
    <w:qFormat/>
    <w:rsid w:val="0098534A"/>
    <w:pPr>
      <w:spacing w:after="0" w:line="264" w:lineRule="auto"/>
      <w:jc w:val="left"/>
    </w:pPr>
    <w:rPr>
      <w:rFonts w:asciiTheme="minorHAnsi" w:hAnsiTheme="minorHAnsi"/>
      <w:color w:val="F9F9F5" w:themeColor="accent1"/>
      <w:kern w:val="0"/>
      <w:sz w:val="18"/>
      <w:szCs w:val="20"/>
      <w:lang w:val="uk-UA" w:eastAsia="uk-UA"/>
    </w:rPr>
  </w:style>
  <w:style w:type="character" w:styleId="Hyperlink">
    <w:name w:val="Hyperlink"/>
    <w:basedOn w:val="DefaultParagraphFont"/>
    <w:uiPriority w:val="99"/>
    <w:unhideWhenUsed/>
    <w:rsid w:val="0098534A"/>
    <w:rPr>
      <w:color w:val="467886" w:themeColor="hyperlink"/>
      <w:u w:val="single"/>
    </w:rPr>
  </w:style>
  <w:style w:type="character" w:styleId="UnresolvedMention">
    <w:name w:val="Unresolved Mention"/>
    <w:basedOn w:val="DefaultParagraphFont"/>
    <w:uiPriority w:val="99"/>
    <w:semiHidden/>
    <w:unhideWhenUsed/>
    <w:rsid w:val="00C62388"/>
    <w:rPr>
      <w:color w:val="605E5C"/>
      <w:shd w:val="clear" w:color="auto" w:fill="E1DFDD"/>
    </w:rPr>
  </w:style>
  <w:style w:type="paragraph" w:styleId="FootnoteText">
    <w:name w:val="footnote text"/>
    <w:basedOn w:val="Normal"/>
    <w:link w:val="FootnoteTextChar"/>
    <w:uiPriority w:val="99"/>
    <w:semiHidden/>
    <w:unhideWhenUsed/>
    <w:rsid w:val="00DF27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2786"/>
    <w:rPr>
      <w:rFonts w:ascii="Avenir Next LT Pro" w:hAnsi="Avenir Next LT Pro"/>
      <w:sz w:val="20"/>
      <w:szCs w:val="20"/>
    </w:rPr>
  </w:style>
  <w:style w:type="character" w:styleId="FootnoteReference">
    <w:name w:val="footnote reference"/>
    <w:basedOn w:val="DefaultParagraphFont"/>
    <w:uiPriority w:val="99"/>
    <w:semiHidden/>
    <w:unhideWhenUsed/>
    <w:rsid w:val="00DF2786"/>
    <w:rPr>
      <w:vertAlign w:val="superscript"/>
    </w:rPr>
  </w:style>
  <w:style w:type="character" w:customStyle="1" w:styleId="ListParagraphChar">
    <w:name w:val="List Paragraph Char"/>
    <w:aliases w:val="Dot pt Char,No Spacing1 Char,List Paragraph Char Char Char Char,Indicator Text Char,List Paragraph1 Char,Numbered Para 1 Char,Bullet 1 Char,List Paragraph12 Char,Bullet Style Char,Bullet Points Char,MAIN CONTENT Char,OBC Bullet Char"/>
    <w:link w:val="ListParagraph"/>
    <w:uiPriority w:val="34"/>
    <w:qFormat/>
    <w:locked/>
    <w:rsid w:val="001D3E90"/>
    <w:rPr>
      <w:rFonts w:ascii="Avenir Next LT Pro" w:hAnsi="Avenir Next LT 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71654">
      <w:bodyDiv w:val="1"/>
      <w:marLeft w:val="0"/>
      <w:marRight w:val="0"/>
      <w:marTop w:val="0"/>
      <w:marBottom w:val="0"/>
      <w:divBdr>
        <w:top w:val="none" w:sz="0" w:space="0" w:color="auto"/>
        <w:left w:val="none" w:sz="0" w:space="0" w:color="auto"/>
        <w:bottom w:val="none" w:sz="0" w:space="0" w:color="auto"/>
        <w:right w:val="none" w:sz="0" w:space="0" w:color="auto"/>
      </w:divBdr>
    </w:div>
    <w:div w:id="51077741">
      <w:bodyDiv w:val="1"/>
      <w:marLeft w:val="0"/>
      <w:marRight w:val="0"/>
      <w:marTop w:val="0"/>
      <w:marBottom w:val="0"/>
      <w:divBdr>
        <w:top w:val="none" w:sz="0" w:space="0" w:color="auto"/>
        <w:left w:val="none" w:sz="0" w:space="0" w:color="auto"/>
        <w:bottom w:val="none" w:sz="0" w:space="0" w:color="auto"/>
        <w:right w:val="none" w:sz="0" w:space="0" w:color="auto"/>
      </w:divBdr>
    </w:div>
    <w:div w:id="97875567">
      <w:bodyDiv w:val="1"/>
      <w:marLeft w:val="0"/>
      <w:marRight w:val="0"/>
      <w:marTop w:val="0"/>
      <w:marBottom w:val="0"/>
      <w:divBdr>
        <w:top w:val="none" w:sz="0" w:space="0" w:color="auto"/>
        <w:left w:val="none" w:sz="0" w:space="0" w:color="auto"/>
        <w:bottom w:val="none" w:sz="0" w:space="0" w:color="auto"/>
        <w:right w:val="none" w:sz="0" w:space="0" w:color="auto"/>
      </w:divBdr>
      <w:divsChild>
        <w:div w:id="161429341">
          <w:marLeft w:val="0"/>
          <w:marRight w:val="0"/>
          <w:marTop w:val="0"/>
          <w:marBottom w:val="0"/>
          <w:divBdr>
            <w:top w:val="none" w:sz="0" w:space="0" w:color="auto"/>
            <w:left w:val="none" w:sz="0" w:space="0" w:color="auto"/>
            <w:bottom w:val="none" w:sz="0" w:space="0" w:color="auto"/>
            <w:right w:val="none" w:sz="0" w:space="0" w:color="auto"/>
          </w:divBdr>
        </w:div>
      </w:divsChild>
    </w:div>
    <w:div w:id="255792790">
      <w:bodyDiv w:val="1"/>
      <w:marLeft w:val="0"/>
      <w:marRight w:val="0"/>
      <w:marTop w:val="0"/>
      <w:marBottom w:val="0"/>
      <w:divBdr>
        <w:top w:val="none" w:sz="0" w:space="0" w:color="auto"/>
        <w:left w:val="none" w:sz="0" w:space="0" w:color="auto"/>
        <w:bottom w:val="none" w:sz="0" w:space="0" w:color="auto"/>
        <w:right w:val="none" w:sz="0" w:space="0" w:color="auto"/>
      </w:divBdr>
      <w:divsChild>
        <w:div w:id="756636488">
          <w:marLeft w:val="0"/>
          <w:marRight w:val="0"/>
          <w:marTop w:val="0"/>
          <w:marBottom w:val="0"/>
          <w:divBdr>
            <w:top w:val="none" w:sz="0" w:space="0" w:color="auto"/>
            <w:left w:val="none" w:sz="0" w:space="0" w:color="auto"/>
            <w:bottom w:val="none" w:sz="0" w:space="0" w:color="auto"/>
            <w:right w:val="none" w:sz="0" w:space="0" w:color="auto"/>
          </w:divBdr>
        </w:div>
      </w:divsChild>
    </w:div>
    <w:div w:id="344676350">
      <w:bodyDiv w:val="1"/>
      <w:marLeft w:val="0"/>
      <w:marRight w:val="0"/>
      <w:marTop w:val="0"/>
      <w:marBottom w:val="0"/>
      <w:divBdr>
        <w:top w:val="none" w:sz="0" w:space="0" w:color="auto"/>
        <w:left w:val="none" w:sz="0" w:space="0" w:color="auto"/>
        <w:bottom w:val="none" w:sz="0" w:space="0" w:color="auto"/>
        <w:right w:val="none" w:sz="0" w:space="0" w:color="auto"/>
      </w:divBdr>
      <w:divsChild>
        <w:div w:id="1552496674">
          <w:marLeft w:val="0"/>
          <w:marRight w:val="0"/>
          <w:marTop w:val="0"/>
          <w:marBottom w:val="0"/>
          <w:divBdr>
            <w:top w:val="none" w:sz="0" w:space="0" w:color="auto"/>
            <w:left w:val="none" w:sz="0" w:space="0" w:color="auto"/>
            <w:bottom w:val="none" w:sz="0" w:space="0" w:color="auto"/>
            <w:right w:val="none" w:sz="0" w:space="0" w:color="auto"/>
          </w:divBdr>
        </w:div>
      </w:divsChild>
    </w:div>
    <w:div w:id="427425976">
      <w:bodyDiv w:val="1"/>
      <w:marLeft w:val="0"/>
      <w:marRight w:val="0"/>
      <w:marTop w:val="0"/>
      <w:marBottom w:val="0"/>
      <w:divBdr>
        <w:top w:val="none" w:sz="0" w:space="0" w:color="auto"/>
        <w:left w:val="none" w:sz="0" w:space="0" w:color="auto"/>
        <w:bottom w:val="none" w:sz="0" w:space="0" w:color="auto"/>
        <w:right w:val="none" w:sz="0" w:space="0" w:color="auto"/>
      </w:divBdr>
    </w:div>
    <w:div w:id="735783001">
      <w:bodyDiv w:val="1"/>
      <w:marLeft w:val="0"/>
      <w:marRight w:val="0"/>
      <w:marTop w:val="0"/>
      <w:marBottom w:val="0"/>
      <w:divBdr>
        <w:top w:val="none" w:sz="0" w:space="0" w:color="auto"/>
        <w:left w:val="none" w:sz="0" w:space="0" w:color="auto"/>
        <w:bottom w:val="none" w:sz="0" w:space="0" w:color="auto"/>
        <w:right w:val="none" w:sz="0" w:space="0" w:color="auto"/>
      </w:divBdr>
      <w:divsChild>
        <w:div w:id="1196234294">
          <w:marLeft w:val="0"/>
          <w:marRight w:val="0"/>
          <w:marTop w:val="0"/>
          <w:marBottom w:val="0"/>
          <w:divBdr>
            <w:top w:val="none" w:sz="0" w:space="0" w:color="auto"/>
            <w:left w:val="none" w:sz="0" w:space="0" w:color="auto"/>
            <w:bottom w:val="none" w:sz="0" w:space="0" w:color="auto"/>
            <w:right w:val="none" w:sz="0" w:space="0" w:color="auto"/>
          </w:divBdr>
        </w:div>
      </w:divsChild>
    </w:div>
    <w:div w:id="914779741">
      <w:bodyDiv w:val="1"/>
      <w:marLeft w:val="0"/>
      <w:marRight w:val="0"/>
      <w:marTop w:val="0"/>
      <w:marBottom w:val="0"/>
      <w:divBdr>
        <w:top w:val="none" w:sz="0" w:space="0" w:color="auto"/>
        <w:left w:val="none" w:sz="0" w:space="0" w:color="auto"/>
        <w:bottom w:val="none" w:sz="0" w:space="0" w:color="auto"/>
        <w:right w:val="none" w:sz="0" w:space="0" w:color="auto"/>
      </w:divBdr>
      <w:divsChild>
        <w:div w:id="2102288942">
          <w:marLeft w:val="0"/>
          <w:marRight w:val="0"/>
          <w:marTop w:val="0"/>
          <w:marBottom w:val="0"/>
          <w:divBdr>
            <w:top w:val="none" w:sz="0" w:space="0" w:color="auto"/>
            <w:left w:val="none" w:sz="0" w:space="0" w:color="auto"/>
            <w:bottom w:val="none" w:sz="0" w:space="0" w:color="auto"/>
            <w:right w:val="none" w:sz="0" w:space="0" w:color="auto"/>
          </w:divBdr>
        </w:div>
      </w:divsChild>
    </w:div>
    <w:div w:id="1042175363">
      <w:bodyDiv w:val="1"/>
      <w:marLeft w:val="0"/>
      <w:marRight w:val="0"/>
      <w:marTop w:val="0"/>
      <w:marBottom w:val="0"/>
      <w:divBdr>
        <w:top w:val="none" w:sz="0" w:space="0" w:color="auto"/>
        <w:left w:val="none" w:sz="0" w:space="0" w:color="auto"/>
        <w:bottom w:val="none" w:sz="0" w:space="0" w:color="auto"/>
        <w:right w:val="none" w:sz="0" w:space="0" w:color="auto"/>
      </w:divBdr>
      <w:divsChild>
        <w:div w:id="1410225453">
          <w:marLeft w:val="0"/>
          <w:marRight w:val="0"/>
          <w:marTop w:val="0"/>
          <w:marBottom w:val="0"/>
          <w:divBdr>
            <w:top w:val="none" w:sz="0" w:space="0" w:color="auto"/>
            <w:left w:val="none" w:sz="0" w:space="0" w:color="auto"/>
            <w:bottom w:val="none" w:sz="0" w:space="0" w:color="auto"/>
            <w:right w:val="none" w:sz="0" w:space="0" w:color="auto"/>
          </w:divBdr>
        </w:div>
      </w:divsChild>
    </w:div>
    <w:div w:id="1311904567">
      <w:bodyDiv w:val="1"/>
      <w:marLeft w:val="0"/>
      <w:marRight w:val="0"/>
      <w:marTop w:val="0"/>
      <w:marBottom w:val="0"/>
      <w:divBdr>
        <w:top w:val="none" w:sz="0" w:space="0" w:color="auto"/>
        <w:left w:val="none" w:sz="0" w:space="0" w:color="auto"/>
        <w:bottom w:val="none" w:sz="0" w:space="0" w:color="auto"/>
        <w:right w:val="none" w:sz="0" w:space="0" w:color="auto"/>
      </w:divBdr>
    </w:div>
    <w:div w:id="2083985979">
      <w:bodyDiv w:val="1"/>
      <w:marLeft w:val="0"/>
      <w:marRight w:val="0"/>
      <w:marTop w:val="0"/>
      <w:marBottom w:val="0"/>
      <w:divBdr>
        <w:top w:val="none" w:sz="0" w:space="0" w:color="auto"/>
        <w:left w:val="none" w:sz="0" w:space="0" w:color="auto"/>
        <w:bottom w:val="none" w:sz="0" w:space="0" w:color="auto"/>
        <w:right w:val="none" w:sz="0" w:space="0" w:color="auto"/>
      </w:divBdr>
      <w:divsChild>
        <w:div w:id="1679306702">
          <w:marLeft w:val="0"/>
          <w:marRight w:val="0"/>
          <w:marTop w:val="0"/>
          <w:marBottom w:val="0"/>
          <w:divBdr>
            <w:top w:val="none" w:sz="0" w:space="0" w:color="auto"/>
            <w:left w:val="none" w:sz="0" w:space="0" w:color="auto"/>
            <w:bottom w:val="none" w:sz="0" w:space="0" w:color="auto"/>
            <w:right w:val="none" w:sz="0" w:space="0" w:color="auto"/>
          </w:divBdr>
        </w:div>
      </w:divsChild>
    </w:div>
    <w:div w:id="21250735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usiness at OECD (BIAC)">
      <a:dk1>
        <a:sysClr val="windowText" lastClr="000000"/>
      </a:dk1>
      <a:lt1>
        <a:sysClr val="window" lastClr="FFFFFF"/>
      </a:lt1>
      <a:dk2>
        <a:srgbClr val="0E2841"/>
      </a:dk2>
      <a:lt2>
        <a:srgbClr val="E8E8E8"/>
      </a:lt2>
      <a:accent1>
        <a:srgbClr val="F9F9F5"/>
      </a:accent1>
      <a:accent2>
        <a:srgbClr val="281F6B"/>
      </a:accent2>
      <a:accent3>
        <a:srgbClr val="3256A7"/>
      </a:accent3>
      <a:accent4>
        <a:srgbClr val="46A5BF"/>
      </a:accent4>
      <a:accent5>
        <a:srgbClr val="67C07D"/>
      </a:accent5>
      <a:accent6>
        <a:srgbClr val="9BCF7E"/>
      </a:accent6>
      <a:hlink>
        <a:srgbClr val="467886"/>
      </a:hlink>
      <a:folHlink>
        <a:srgbClr val="96607D"/>
      </a:folHlink>
    </a:clrScheme>
    <a:fontScheme name="Business at OECD (BIAC)">
      <a:majorFont>
        <a:latin typeface="Avenir Next LT Pro"/>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5e92df0-3fbf-48e7-8cb6-5126b316d47e" xsi:nil="true"/>
    <Tag xmlns="ff23f61c-bc2f-4a60-9637-5b38918169bd" xsi:nil="true"/>
    <lcf76f155ced4ddcb4097134ff3c332f xmlns="ff23f61c-bc2f-4a60-9637-5b38918169b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E47865A2B88CC4F8CBDEEF038B7D18E" ma:contentTypeVersion="18" ma:contentTypeDescription="Create a new document." ma:contentTypeScope="" ma:versionID="2d474e750f96d7d375c2fbcc764bdf69">
  <xsd:schema xmlns:xsd="http://www.w3.org/2001/XMLSchema" xmlns:xs="http://www.w3.org/2001/XMLSchema" xmlns:p="http://schemas.microsoft.com/office/2006/metadata/properties" xmlns:ns2="ff23f61c-bc2f-4a60-9637-5b38918169bd" xmlns:ns3="55e92df0-3fbf-48e7-8cb6-5126b316d47e" targetNamespace="http://schemas.microsoft.com/office/2006/metadata/properties" ma:root="true" ma:fieldsID="e2e73cea306e813f580acc26725d35f1" ns2:_="" ns3:_="">
    <xsd:import namespace="ff23f61c-bc2f-4a60-9637-5b38918169bd"/>
    <xsd:import namespace="55e92df0-3fbf-48e7-8cb6-5126b316d4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Tag"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23f61c-bc2f-4a60-9637-5b3891816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ag" ma:index="12" nillable="true" ma:displayName="Tags" ma:format="Dropdown" ma:internalName="Tag">
      <xsd:complexType>
        <xsd:complexContent>
          <xsd:extension base="dms:MultiChoiceFillIn">
            <xsd:sequence>
              <xsd:element name="Value" maxOccurs="unbounded" minOccurs="0" nillable="true">
                <xsd:simpleType>
                  <xsd:union memberTypes="dms:Text">
                    <xsd:simpleType>
                      <xsd:restriction base="dms:Choice">
                        <xsd:enumeration value="Special project"/>
                        <xsd:enumeration value="Final policy paper"/>
                        <xsd:enumeration value="Expert group"/>
                        <xsd:enumeration value="Committee"/>
                        <xsd:enumeration value="Working party"/>
                        <xsd:enumeration value="Communication"/>
                        <xsd:enumeration value="Interventions"/>
                        <xsd:enumeration value="Comments"/>
                        <xsd:enumeration value="Template"/>
                      </xsd:restriction>
                    </xsd:simpleType>
                  </xsd:union>
                </xsd:simpleType>
              </xsd:element>
            </xsd:sequence>
          </xsd:extension>
        </xsd:complexContent>
      </xsd:complex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b2addfa-c26d-4e3b-b240-f6c3bd38282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e92df0-3fbf-48e7-8cb6-5126b316d4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6fa0c65-b102-4bd0-8c9b-8d2ee614e05c}" ma:internalName="TaxCatchAll" ma:showField="CatchAllData" ma:web="55e92df0-3fbf-48e7-8cb6-5126b316d4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9F5550-9BAD-4D8A-B4D1-DD0BB7713539}">
  <ds:schemaRefs>
    <ds:schemaRef ds:uri="http://schemas.openxmlformats.org/officeDocument/2006/bibliography"/>
  </ds:schemaRefs>
</ds:datastoreItem>
</file>

<file path=customXml/itemProps2.xml><?xml version="1.0" encoding="utf-8"?>
<ds:datastoreItem xmlns:ds="http://schemas.openxmlformats.org/officeDocument/2006/customXml" ds:itemID="{28E4D6AB-AAA6-46A8-8475-81DEE6982CD1}">
  <ds:schemaRefs>
    <ds:schemaRef ds:uri="http://schemas.microsoft.com/sharepoint/v3/contenttype/forms"/>
  </ds:schemaRefs>
</ds:datastoreItem>
</file>

<file path=customXml/itemProps3.xml><?xml version="1.0" encoding="utf-8"?>
<ds:datastoreItem xmlns:ds="http://schemas.openxmlformats.org/officeDocument/2006/customXml" ds:itemID="{B5FE57CA-8FF4-408F-97BF-3F739DD6408D}">
  <ds:schemaRefs>
    <ds:schemaRef ds:uri="http://schemas.microsoft.com/office/2006/metadata/properties"/>
    <ds:schemaRef ds:uri="http://schemas.microsoft.com/office/infopath/2007/PartnerControls"/>
    <ds:schemaRef ds:uri="55e92df0-3fbf-48e7-8cb6-5126b316d47e"/>
    <ds:schemaRef ds:uri="ff23f61c-bc2f-4a60-9637-5b38918169bd"/>
  </ds:schemaRefs>
</ds:datastoreItem>
</file>

<file path=customXml/itemProps4.xml><?xml version="1.0" encoding="utf-8"?>
<ds:datastoreItem xmlns:ds="http://schemas.openxmlformats.org/officeDocument/2006/customXml" ds:itemID="{2C502355-049A-43B6-A4E5-64CE98931A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23f61c-bc2f-4a60-9637-5b38918169bd"/>
    <ds:schemaRef ds:uri="55e92df0-3fbf-48e7-8cb6-5126b316d4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972</Words>
  <Characters>6068</Characters>
  <Application>Microsoft Office Word</Application>
  <DocSecurity>0</DocSecurity>
  <Lines>123</Lines>
  <Paragraphs>21</Paragraphs>
  <ScaleCrop>false</ScaleCrop>
  <HeadingPairs>
    <vt:vector size="2" baseType="variant">
      <vt:variant>
        <vt:lpstr>Title</vt:lpstr>
      </vt:variant>
      <vt:variant>
        <vt:i4>1</vt:i4>
      </vt:variant>
    </vt:vector>
  </HeadingPairs>
  <TitlesOfParts>
    <vt:vector size="1" baseType="lpstr">
      <vt:lpstr/>
    </vt:vector>
  </TitlesOfParts>
  <Company>OECD</Company>
  <LinksUpToDate>false</LinksUpToDate>
  <CharactersWithSpaces>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KUMMERLE Dominik</dc:creator>
  <cp:keywords/>
  <dc:description/>
  <cp:lastModifiedBy>MORKUNAS Rokas, BIAC</cp:lastModifiedBy>
  <cp:revision>2</cp:revision>
  <cp:lastPrinted>2025-08-28T18:43:00Z</cp:lastPrinted>
  <dcterms:created xsi:type="dcterms:W3CDTF">2026-10-26T14:20:00Z</dcterms:created>
  <dcterms:modified xsi:type="dcterms:W3CDTF">2026-10-26T14:20:00Z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0x0101008E47865A2B88CC4F8CBDEEF038B7D18E</vt:lpwstr>
  </property>
  <property fmtid="{D5CDD505-2E9C-101B-9397-08002B2CF9AE}" pid="3" name="MediaServiceImageTags">
    <vt:lpwstr/>
  </property>
  <property fmtid="{D5CDD505-2E9C-101B-9397-08002B2CF9AE}" pid="4" name="ClassificationContentMarkingFooterShapeIds">
    <vt:lpwstr>9a11f7d,29e8342e,7c82fae6</vt:lpwstr>
  </property>
  <property fmtid="{D5CDD505-2E9C-101B-9397-08002B2CF9AE}" pid="5" name="ClassificationContentMarkingFooterFontProps">
    <vt:lpwstr>#0000ff,10,Calibri</vt:lpwstr>
  </property>
  <property fmtid="{D5CDD505-2E9C-101B-9397-08002B2CF9AE}" pid="6" name="ClassificationContentMarkingFooterText">
    <vt:lpwstr>Restricted Use - À usage restreint</vt:lpwstr>
  </property>
  <property fmtid="{D5CDD505-2E9C-101B-9397-08002B2CF9AE}" pid="7" name="MSIP_Label_0e5510b0-e729-4ef0-a3dd-4ba0dfe56c99_Enabled">
    <vt:lpwstr>true</vt:lpwstr>
  </property>
  <property fmtid="{D5CDD505-2E9C-101B-9397-08002B2CF9AE}" pid="8" name="MSIP_Label_0e5510b0-e729-4ef0-a3dd-4ba0dfe56c99_SetDate">
    <vt:lpwstr>2026-03-24T10:12:19Z</vt:lpwstr>
  </property>
  <property fmtid="{D5CDD505-2E9C-101B-9397-08002B2CF9AE}" pid="9" name="MSIP_Label_0e5510b0-e729-4ef0-a3dd-4ba0dfe56c99_Method">
    <vt:lpwstr>Standard</vt:lpwstr>
  </property>
  <property fmtid="{D5CDD505-2E9C-101B-9397-08002B2CF9AE}" pid="10" name="MSIP_Label_0e5510b0-e729-4ef0-a3dd-4ba0dfe56c99_Name">
    <vt:lpwstr>Restricted Use</vt:lpwstr>
  </property>
  <property fmtid="{D5CDD505-2E9C-101B-9397-08002B2CF9AE}" pid="11" name="MSIP_Label_0e5510b0-e729-4ef0-a3dd-4ba0dfe56c99_SiteId">
    <vt:lpwstr>ac41c7d4-1f61-460d-b0f4-fc925a2b471c</vt:lpwstr>
  </property>
  <property fmtid="{D5CDD505-2E9C-101B-9397-08002B2CF9AE}" pid="12" name="MSIP_Label_0e5510b0-e729-4ef0-a3dd-4ba0dfe56c99_ActionId">
    <vt:lpwstr>1ee85c98-e3ad-4911-9716-77dd5f8df717</vt:lpwstr>
  </property>
  <property fmtid="{D5CDD505-2E9C-101B-9397-08002B2CF9AE}" pid="13" name="MSIP_Label_0e5510b0-e729-4ef0-a3dd-4ba0dfe56c99_ContentBits">
    <vt:lpwstr>2</vt:lpwstr>
  </property>
  <property fmtid="{D5CDD505-2E9C-101B-9397-08002B2CF9AE}" pid="14" name="MSIP_Label_0e5510b0-e729-4ef0-a3dd-4ba0dfe56c99_Tag">
    <vt:lpwstr>10, 3, 0, 1</vt:lpwstr>
  </property>
</Properties>
</file>