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A218" w14:textId="52905D53" w:rsidR="00CA4035" w:rsidRPr="002A60EB" w:rsidRDefault="000F65CE" w:rsidP="00DC6A85">
      <w:pPr>
        <w:pStyle w:val="Title"/>
        <w:rPr>
          <w:bCs/>
          <w:szCs w:val="22"/>
          <w:lang w:val="en-GB"/>
        </w:rPr>
      </w:pPr>
      <w:bookmarkStart w:id="0" w:name="_Hlk197350176"/>
      <w:r w:rsidRPr="002A60EB">
        <w:rPr>
          <w:bCs/>
          <w:szCs w:val="22"/>
          <w:lang w:val="en-GB"/>
        </w:rPr>
        <w:t xml:space="preserve">Written </w:t>
      </w:r>
      <w:r w:rsidR="00995C84" w:rsidRPr="002A60EB">
        <w:rPr>
          <w:bCs/>
          <w:szCs w:val="22"/>
          <w:lang w:val="en-GB"/>
        </w:rPr>
        <w:t>Comments</w:t>
      </w:r>
      <w:r w:rsidR="006D76FD" w:rsidRPr="002A60EB">
        <w:rPr>
          <w:bCs/>
          <w:szCs w:val="22"/>
          <w:lang w:val="en-GB"/>
        </w:rPr>
        <w:t xml:space="preserve"> to the </w:t>
      </w:r>
      <w:r w:rsidR="00B35E39" w:rsidRPr="002A60EB">
        <w:rPr>
          <w:bCs/>
          <w:szCs w:val="22"/>
          <w:lang w:val="en-GB"/>
        </w:rPr>
        <w:t xml:space="preserve">OECD </w:t>
      </w:r>
      <w:r w:rsidR="002D50C7" w:rsidRPr="002A60EB">
        <w:rPr>
          <w:bCs/>
          <w:szCs w:val="22"/>
          <w:lang w:val="en-GB"/>
        </w:rPr>
        <w:t xml:space="preserve">SME </w:t>
      </w:r>
      <w:r w:rsidR="00B35E39" w:rsidRPr="002A60EB">
        <w:rPr>
          <w:bCs/>
          <w:szCs w:val="22"/>
          <w:lang w:val="en-GB"/>
        </w:rPr>
        <w:t>Committee</w:t>
      </w:r>
      <w:r w:rsidR="00D16E29" w:rsidRPr="002A60EB">
        <w:rPr>
          <w:bCs/>
          <w:szCs w:val="22"/>
          <w:lang w:val="en-GB"/>
        </w:rPr>
        <w:t xml:space="preserve"> (</w:t>
      </w:r>
      <w:r w:rsidR="002D50C7" w:rsidRPr="002A60EB">
        <w:rPr>
          <w:bCs/>
          <w:szCs w:val="22"/>
          <w:lang w:val="en-GB"/>
        </w:rPr>
        <w:t>CSMEE</w:t>
      </w:r>
      <w:r w:rsidR="00D16E29" w:rsidRPr="002A60EB">
        <w:rPr>
          <w:bCs/>
          <w:szCs w:val="22"/>
          <w:lang w:val="en-GB"/>
        </w:rPr>
        <w:t>)</w:t>
      </w:r>
    </w:p>
    <w:p w14:paraId="681F98D5" w14:textId="4D3C78A5" w:rsidR="00E96A43" w:rsidRPr="002A60EB" w:rsidRDefault="002D50C7" w:rsidP="00A314C9">
      <w:pPr>
        <w:jc w:val="center"/>
        <w:rPr>
          <w:color w:val="281F6B" w:themeColor="accent2"/>
          <w:sz w:val="22"/>
          <w:lang w:val="en-GB"/>
        </w:rPr>
      </w:pPr>
      <w:r w:rsidRPr="002A60EB">
        <w:rPr>
          <w:color w:val="281F6B" w:themeColor="accent2"/>
          <w:sz w:val="22"/>
          <w:lang w:val="en-GB"/>
        </w:rPr>
        <w:t xml:space="preserve">March </w:t>
      </w:r>
      <w:r w:rsidR="00751C94" w:rsidRPr="002A60EB">
        <w:rPr>
          <w:color w:val="281F6B" w:themeColor="accent2"/>
          <w:sz w:val="22"/>
          <w:lang w:val="en-GB"/>
        </w:rPr>
        <w:t>202</w:t>
      </w:r>
      <w:r w:rsidRPr="002A60EB">
        <w:rPr>
          <w:color w:val="281F6B" w:themeColor="accent2"/>
          <w:sz w:val="22"/>
          <w:lang w:val="en-GB"/>
        </w:rPr>
        <w:t>6</w:t>
      </w:r>
    </w:p>
    <w:bookmarkEnd w:id="0"/>
    <w:p w14:paraId="66004B48" w14:textId="7681C8CA" w:rsidR="00AD595C" w:rsidRPr="00FD05C6" w:rsidRDefault="00A314C9" w:rsidP="00FD05C6">
      <w:pPr>
        <w:pStyle w:val="Heading1"/>
        <w:rPr>
          <w:sz w:val="22"/>
          <w:szCs w:val="22"/>
          <w:lang w:val="en-GB"/>
        </w:rPr>
      </w:pPr>
      <w:r w:rsidRPr="002A60EB">
        <w:rPr>
          <w:sz w:val="22"/>
          <w:szCs w:val="22"/>
          <w:lang w:val="en-GB"/>
        </w:rPr>
        <w:t xml:space="preserve">General comments on the </w:t>
      </w:r>
      <w:r w:rsidR="004213D1" w:rsidRPr="002A60EB">
        <w:rPr>
          <w:sz w:val="22"/>
          <w:szCs w:val="22"/>
          <w:lang w:val="en-GB"/>
        </w:rPr>
        <w:t>CSMEE Draft Programme of Work and Budget 2027-2030: Project Proposals for Prioritisation</w:t>
      </w:r>
    </w:p>
    <w:p w14:paraId="7BAC6D82" w14:textId="77777777" w:rsidR="00560267" w:rsidRPr="002A60EB" w:rsidRDefault="00560267" w:rsidP="00560267">
      <w:pPr>
        <w:pStyle w:val="ListParagraph"/>
        <w:widowControl w:val="0"/>
        <w:numPr>
          <w:ilvl w:val="0"/>
          <w:numId w:val="7"/>
        </w:numPr>
        <w:spacing w:beforeLines="60" w:before="144" w:afterLines="60" w:after="144" w:line="360" w:lineRule="auto"/>
        <w:rPr>
          <w:rFonts w:eastAsia="Meiryo UI"/>
          <w:sz w:val="22"/>
          <w:lang w:val="en-GB"/>
        </w:rPr>
      </w:pPr>
      <w:r w:rsidRPr="002A60EB">
        <w:rPr>
          <w:rFonts w:eastAsia="Meiryo UI"/>
          <w:b/>
          <w:bCs/>
          <w:sz w:val="22"/>
          <w:lang w:val="en-GB"/>
        </w:rPr>
        <w:t>Key points to flag to the OECD Secretariat for further consideration</w:t>
      </w:r>
      <w:r w:rsidRPr="002A60EB">
        <w:rPr>
          <w:rFonts w:eastAsia="Meiryo UI"/>
          <w:sz w:val="22"/>
          <w:lang w:val="en-GB"/>
        </w:rPr>
        <w:t xml:space="preserve">: While the first draft of the CSMEE PWB 2027–30 integrates several elements aligned with our Business at OECD SME Committee priorities (put forward in our </w:t>
      </w:r>
      <w:hyperlink r:id="rId11" w:history="1">
        <w:r w:rsidRPr="002A60EB">
          <w:rPr>
            <w:rStyle w:val="Hyperlink"/>
            <w:rFonts w:eastAsia="Meiryo UI"/>
            <w:sz w:val="22"/>
            <w:lang w:val="en-GB"/>
          </w:rPr>
          <w:t>SME Priorities Paper</w:t>
        </w:r>
      </w:hyperlink>
      <w:r w:rsidRPr="002A60EB">
        <w:rPr>
          <w:rFonts w:eastAsia="Meiryo UI"/>
          <w:sz w:val="22"/>
          <w:lang w:val="en-GB"/>
        </w:rPr>
        <w:t>), some aspects require further refinement to fully reflect business needs across the SME ecosystem. The following points summarise the main gaps identified we encourage the OECD Secretariat to consider for the next draft:</w:t>
      </w:r>
    </w:p>
    <w:p w14:paraId="20F21195" w14:textId="77777777" w:rsidR="00560267" w:rsidRPr="002A60EB" w:rsidRDefault="00560267" w:rsidP="00560267">
      <w:pPr>
        <w:pStyle w:val="ListParagraph"/>
        <w:widowControl w:val="0"/>
        <w:spacing w:beforeLines="60" w:before="144" w:afterLines="60" w:after="144" w:line="360" w:lineRule="auto"/>
        <w:ind w:left="360"/>
        <w:rPr>
          <w:rFonts w:eastAsia="Meiryo UI"/>
          <w:sz w:val="22"/>
          <w:lang w:val="en-GB"/>
        </w:rPr>
      </w:pPr>
    </w:p>
    <w:p w14:paraId="019956A0" w14:textId="77777777" w:rsidR="00560267" w:rsidRPr="002A60EB" w:rsidRDefault="00560267" w:rsidP="00560267">
      <w:pPr>
        <w:pStyle w:val="ListParagraph"/>
        <w:widowControl w:val="0"/>
        <w:numPr>
          <w:ilvl w:val="1"/>
          <w:numId w:val="7"/>
        </w:numPr>
        <w:spacing w:beforeLines="60" w:before="144" w:afterLines="60" w:after="144" w:line="360" w:lineRule="auto"/>
        <w:rPr>
          <w:rFonts w:eastAsia="Meiryo UI"/>
          <w:sz w:val="22"/>
          <w:lang w:val="en-GB"/>
        </w:rPr>
      </w:pPr>
      <w:r w:rsidRPr="002A60EB">
        <w:rPr>
          <w:rFonts w:eastAsia="Meiryo UI"/>
          <w:sz w:val="22"/>
          <w:lang w:val="en-GB"/>
        </w:rPr>
        <w:t xml:space="preserve">First, on </w:t>
      </w:r>
      <w:r w:rsidRPr="002A60EB">
        <w:rPr>
          <w:rFonts w:eastAsia="Meiryo UI"/>
          <w:b/>
          <w:bCs/>
          <w:sz w:val="22"/>
          <w:lang w:val="en-GB"/>
        </w:rPr>
        <w:t>proportionate, innovation</w:t>
      </w:r>
      <w:r w:rsidRPr="002A60EB">
        <w:rPr>
          <w:rFonts w:ascii="Cambria Math" w:eastAsia="Meiryo UI" w:hAnsi="Cambria Math" w:cs="Cambria Math"/>
          <w:b/>
          <w:bCs/>
          <w:sz w:val="22"/>
          <w:lang w:val="en-GB"/>
        </w:rPr>
        <w:t>‑</w:t>
      </w:r>
      <w:r w:rsidRPr="002A60EB">
        <w:rPr>
          <w:rFonts w:eastAsia="Meiryo UI"/>
          <w:b/>
          <w:bCs/>
          <w:sz w:val="22"/>
          <w:lang w:val="en-GB"/>
        </w:rPr>
        <w:t>friendly frameworks for SMEs</w:t>
      </w:r>
      <w:r w:rsidRPr="002A60EB">
        <w:rPr>
          <w:rFonts w:eastAsia="Meiryo UI"/>
          <w:sz w:val="22"/>
          <w:lang w:val="en-GB"/>
        </w:rPr>
        <w:t xml:space="preserve"> (cost of compliance, digital/AI adoption): Although the first PWB draft recognises the transformative potential of digital technologies and AI for SMEs (particularly under IOR 1.3), the draft does not explicitly address the need to minimise regulatory and administrative costs associated with technology adoption. SMEs often face disproportionate burdens when adopting AI or any other digital tools. While the PWB acknowledges emerging technologies and the challenges surrounding their uptake, it could further benefit from outlining an SME</w:t>
      </w:r>
      <w:r w:rsidRPr="002A60EB">
        <w:rPr>
          <w:rFonts w:eastAsia="Meiryo UI"/>
          <w:sz w:val="22"/>
          <w:lang w:val="en-GB"/>
        </w:rPr>
        <w:noBreakHyphen/>
        <w:t>appropriate regulatory approach and from considering how compliance costs linked to digitalization, including AI deployment, requirements may affect smaller companies.</w:t>
      </w:r>
    </w:p>
    <w:p w14:paraId="729CF544" w14:textId="77777777" w:rsidR="00560267" w:rsidRPr="002A60EB" w:rsidRDefault="00560267" w:rsidP="00560267">
      <w:pPr>
        <w:pStyle w:val="ListParagraph"/>
        <w:widowControl w:val="0"/>
        <w:spacing w:beforeLines="60" w:before="144" w:afterLines="60" w:after="144" w:line="360" w:lineRule="auto"/>
        <w:ind w:left="1080"/>
        <w:rPr>
          <w:rFonts w:eastAsia="Meiryo UI"/>
          <w:sz w:val="22"/>
          <w:lang w:val="en-GB"/>
        </w:rPr>
      </w:pPr>
    </w:p>
    <w:p w14:paraId="0A7A13F0" w14:textId="77777777" w:rsidR="00560267" w:rsidRPr="002A60EB" w:rsidRDefault="00560267" w:rsidP="00560267">
      <w:pPr>
        <w:pStyle w:val="ListParagraph"/>
        <w:widowControl w:val="0"/>
        <w:numPr>
          <w:ilvl w:val="0"/>
          <w:numId w:val="8"/>
        </w:numPr>
        <w:spacing w:beforeLines="60" w:before="144" w:afterLines="60" w:after="144" w:line="360" w:lineRule="auto"/>
        <w:rPr>
          <w:rFonts w:eastAsia="Meiryo UI"/>
          <w:sz w:val="22"/>
          <w:lang w:val="en-GB"/>
        </w:rPr>
      </w:pPr>
      <w:r w:rsidRPr="002A60EB">
        <w:rPr>
          <w:rFonts w:eastAsia="Meiryo UI"/>
          <w:sz w:val="22"/>
          <w:lang w:val="en-GB"/>
        </w:rPr>
        <w:t>We encourage the Secretariat to introduce explicit language committing to cost</w:t>
      </w:r>
      <w:r w:rsidRPr="002A60EB">
        <w:rPr>
          <w:rFonts w:ascii="Cambria Math" w:eastAsia="Meiryo UI" w:hAnsi="Cambria Math" w:cs="Cambria Math"/>
          <w:sz w:val="22"/>
          <w:lang w:val="en-GB"/>
        </w:rPr>
        <w:t>‑</w:t>
      </w:r>
      <w:r w:rsidRPr="002A60EB">
        <w:rPr>
          <w:rFonts w:eastAsia="Meiryo UI"/>
          <w:sz w:val="22"/>
          <w:lang w:val="en-GB"/>
        </w:rPr>
        <w:t>proportionate digital and AI frameworks, ensuring that new requirements do not intensify the structural disadvantages SMEs face. Clarifying that technology</w:t>
      </w:r>
      <w:r w:rsidRPr="002A60EB">
        <w:rPr>
          <w:rFonts w:ascii="Cambria Math" w:eastAsia="Meiryo UI" w:hAnsi="Cambria Math" w:cs="Cambria Math"/>
          <w:sz w:val="22"/>
          <w:lang w:val="en-GB"/>
        </w:rPr>
        <w:t>‑</w:t>
      </w:r>
      <w:r w:rsidRPr="002A60EB">
        <w:rPr>
          <w:rFonts w:eastAsia="Meiryo UI"/>
          <w:sz w:val="22"/>
          <w:lang w:val="en-GB"/>
        </w:rPr>
        <w:t>driven transitions should not create new layers of administrative or financial burden for SMEs.</w:t>
      </w:r>
    </w:p>
    <w:p w14:paraId="085BA24D" w14:textId="77777777" w:rsidR="00560267" w:rsidRPr="002A60EB" w:rsidRDefault="00560267" w:rsidP="00560267">
      <w:pPr>
        <w:pStyle w:val="ListParagraph"/>
        <w:widowControl w:val="0"/>
        <w:spacing w:beforeLines="60" w:before="144" w:afterLines="60" w:after="144" w:line="360" w:lineRule="auto"/>
        <w:rPr>
          <w:rFonts w:eastAsia="Meiryo UI"/>
          <w:sz w:val="22"/>
          <w:lang w:val="en-GB"/>
        </w:rPr>
      </w:pPr>
    </w:p>
    <w:p w14:paraId="3E6E1BB8" w14:textId="77777777" w:rsidR="00560267" w:rsidRPr="002A60EB" w:rsidRDefault="00560267" w:rsidP="00560267">
      <w:pPr>
        <w:pStyle w:val="ListParagraph"/>
        <w:widowControl w:val="0"/>
        <w:numPr>
          <w:ilvl w:val="1"/>
          <w:numId w:val="7"/>
        </w:numPr>
        <w:spacing w:beforeLines="60" w:before="144" w:afterLines="60" w:after="144" w:line="360" w:lineRule="auto"/>
        <w:rPr>
          <w:rFonts w:eastAsia="Meiryo UI"/>
          <w:sz w:val="22"/>
          <w:lang w:val="en-GB"/>
        </w:rPr>
      </w:pPr>
      <w:r w:rsidRPr="002A60EB">
        <w:rPr>
          <w:rFonts w:eastAsia="Meiryo UI"/>
          <w:sz w:val="22"/>
          <w:lang w:val="en-GB"/>
        </w:rPr>
        <w:t xml:space="preserve">Second, on </w:t>
      </w:r>
      <w:r w:rsidRPr="002A60EB">
        <w:rPr>
          <w:rFonts w:eastAsia="Meiryo UI"/>
          <w:b/>
          <w:bCs/>
          <w:sz w:val="22"/>
          <w:lang w:val="en-GB"/>
        </w:rPr>
        <w:t xml:space="preserve">proportionate and streamlined ESG, sustainability and reporting </w:t>
      </w:r>
      <w:r w:rsidRPr="002A60EB">
        <w:rPr>
          <w:rFonts w:eastAsia="Meiryo UI"/>
          <w:b/>
          <w:bCs/>
          <w:sz w:val="22"/>
          <w:lang w:val="en-GB"/>
        </w:rPr>
        <w:lastRenderedPageBreak/>
        <w:t xml:space="preserve">requirements for SMEs: </w:t>
      </w:r>
      <w:r w:rsidRPr="002A60EB">
        <w:rPr>
          <w:rFonts w:eastAsia="Meiryo UI"/>
          <w:sz w:val="22"/>
          <w:lang w:val="en-GB"/>
        </w:rPr>
        <w:t xml:space="preserve">This first PWB draft rightly emphasises resource efficiency and sustainable economic development (see IOR 3.2). However, it does not yet address how ESG and reporting requirements can be designed in a proportionate manner that considers the capacities and realities of SMEs. </w:t>
      </w:r>
    </w:p>
    <w:p w14:paraId="212A4114" w14:textId="77777777" w:rsidR="00560267" w:rsidRPr="002A60EB" w:rsidRDefault="00560267" w:rsidP="00560267">
      <w:pPr>
        <w:pStyle w:val="ListParagraph"/>
        <w:widowControl w:val="0"/>
        <w:spacing w:beforeLines="60" w:before="144" w:afterLines="60" w:after="144" w:line="360" w:lineRule="auto"/>
        <w:ind w:left="1080"/>
        <w:rPr>
          <w:rFonts w:eastAsia="Meiryo UI"/>
          <w:sz w:val="22"/>
          <w:lang w:val="en-GB"/>
        </w:rPr>
      </w:pPr>
    </w:p>
    <w:p w14:paraId="6D0F70EF" w14:textId="77777777" w:rsidR="00560267" w:rsidRPr="002A60EB" w:rsidRDefault="00560267" w:rsidP="00560267">
      <w:pPr>
        <w:pStyle w:val="ListParagraph"/>
        <w:widowControl w:val="0"/>
        <w:numPr>
          <w:ilvl w:val="0"/>
          <w:numId w:val="8"/>
        </w:numPr>
        <w:spacing w:beforeLines="60" w:before="144" w:afterLines="60" w:after="144" w:line="360" w:lineRule="auto"/>
        <w:rPr>
          <w:rFonts w:eastAsia="Meiryo UI"/>
          <w:sz w:val="22"/>
          <w:lang w:val="en-GB"/>
        </w:rPr>
      </w:pPr>
      <w:r w:rsidRPr="002A60EB">
        <w:rPr>
          <w:rFonts w:eastAsia="Meiryo UI"/>
          <w:sz w:val="22"/>
          <w:lang w:val="en-GB"/>
        </w:rPr>
        <w:t>Therefore, we encourage placing greater emphasis on the need for simplified and proportionate ESG frameworks, as well as market</w:t>
      </w:r>
      <w:r w:rsidRPr="002A60EB">
        <w:rPr>
          <w:rFonts w:eastAsia="Meiryo UI"/>
          <w:sz w:val="22"/>
          <w:lang w:val="en-GB"/>
        </w:rPr>
        <w:noBreakHyphen/>
        <w:t>wide standardisation of data requirements from banks and insurers. Without such proportionality, SMEs risk being excluded from value chains or facing undue compliance burdens.</w:t>
      </w:r>
    </w:p>
    <w:p w14:paraId="046C6468" w14:textId="77777777" w:rsidR="00560267" w:rsidRPr="002A60EB" w:rsidRDefault="00560267" w:rsidP="00560267">
      <w:pPr>
        <w:pStyle w:val="ListParagraph"/>
        <w:widowControl w:val="0"/>
        <w:spacing w:beforeLines="60" w:before="144" w:afterLines="60" w:after="144" w:line="360" w:lineRule="auto"/>
        <w:rPr>
          <w:rFonts w:eastAsia="Meiryo UI"/>
          <w:sz w:val="22"/>
          <w:lang w:val="en-GB"/>
        </w:rPr>
      </w:pPr>
    </w:p>
    <w:p w14:paraId="4D54ACB1" w14:textId="77777777" w:rsidR="00560267" w:rsidRPr="002A60EB" w:rsidRDefault="00560267" w:rsidP="00560267">
      <w:pPr>
        <w:pStyle w:val="ListParagraph"/>
        <w:widowControl w:val="0"/>
        <w:numPr>
          <w:ilvl w:val="1"/>
          <w:numId w:val="7"/>
        </w:numPr>
        <w:spacing w:beforeLines="60" w:before="144" w:afterLines="60" w:after="144" w:line="360" w:lineRule="auto"/>
        <w:rPr>
          <w:rFonts w:eastAsia="Meiryo UI"/>
          <w:sz w:val="22"/>
          <w:lang w:val="en-GB"/>
        </w:rPr>
      </w:pPr>
      <w:r w:rsidRPr="002A60EB">
        <w:rPr>
          <w:rFonts w:eastAsia="Meiryo UI"/>
          <w:sz w:val="22"/>
          <w:lang w:val="en-GB"/>
        </w:rPr>
        <w:t xml:space="preserve">Third, on </w:t>
      </w:r>
      <w:r w:rsidRPr="002A60EB">
        <w:rPr>
          <w:rFonts w:eastAsia="Meiryo UI"/>
          <w:b/>
          <w:bCs/>
          <w:sz w:val="22"/>
          <w:lang w:val="en-GB"/>
        </w:rPr>
        <w:t>strengthening liquidity, working</w:t>
      </w:r>
      <w:r w:rsidRPr="002A60EB">
        <w:rPr>
          <w:rFonts w:ascii="Cambria Math" w:eastAsia="Meiryo UI" w:hAnsi="Cambria Math" w:cs="Cambria Math"/>
          <w:b/>
          <w:bCs/>
          <w:sz w:val="22"/>
          <w:lang w:val="en-GB"/>
        </w:rPr>
        <w:t>‑</w:t>
      </w:r>
      <w:r w:rsidRPr="002A60EB">
        <w:rPr>
          <w:rFonts w:eastAsia="Meiryo UI"/>
          <w:b/>
          <w:bCs/>
          <w:sz w:val="22"/>
          <w:lang w:val="en-GB"/>
        </w:rPr>
        <w:t>capital resilience and payment timeliness</w:t>
      </w:r>
      <w:r w:rsidRPr="002A60EB">
        <w:rPr>
          <w:rFonts w:eastAsia="Meiryo UI"/>
          <w:sz w:val="22"/>
          <w:lang w:val="en-GB"/>
        </w:rPr>
        <w:t>: The PWB acknowledges liquidity challenges only briefly, noting the importance of “timely payments” and innovations in cash</w:t>
      </w:r>
      <w:r w:rsidRPr="002A60EB">
        <w:rPr>
          <w:rFonts w:ascii="Cambria Math" w:eastAsia="Meiryo UI" w:hAnsi="Cambria Math" w:cs="Cambria Math"/>
          <w:sz w:val="22"/>
          <w:lang w:val="en-GB"/>
        </w:rPr>
        <w:t>‑</w:t>
      </w:r>
      <w:r w:rsidRPr="002A60EB">
        <w:rPr>
          <w:rFonts w:eastAsia="Meiryo UI"/>
          <w:sz w:val="22"/>
          <w:lang w:val="en-GB"/>
        </w:rPr>
        <w:t>flow management (see IOR 1.1). However, BIAC</w:t>
      </w:r>
      <w:r w:rsidRPr="002A60EB">
        <w:rPr>
          <w:rFonts w:eastAsia="Meiryo UI" w:cs="Avenir Next LT Pro"/>
          <w:sz w:val="22"/>
          <w:lang w:val="en-GB"/>
        </w:rPr>
        <w:t>’</w:t>
      </w:r>
      <w:r w:rsidRPr="002A60EB">
        <w:rPr>
          <w:rFonts w:eastAsia="Meiryo UI"/>
          <w:sz w:val="22"/>
          <w:lang w:val="en-GB"/>
        </w:rPr>
        <w:t>s more detailed recommendations on: working capital, payment enforcement, cross</w:t>
      </w:r>
      <w:r w:rsidRPr="002A60EB">
        <w:rPr>
          <w:rFonts w:ascii="Cambria Math" w:eastAsia="Meiryo UI" w:hAnsi="Cambria Math" w:cs="Cambria Math"/>
          <w:sz w:val="22"/>
          <w:lang w:val="en-GB"/>
        </w:rPr>
        <w:t>‑</w:t>
      </w:r>
      <w:r w:rsidRPr="002A60EB">
        <w:rPr>
          <w:rFonts w:eastAsia="Meiryo UI"/>
          <w:sz w:val="22"/>
          <w:lang w:val="en-GB"/>
        </w:rPr>
        <w:t>border payment platform interoperability, as well as supply</w:t>
      </w:r>
      <w:r w:rsidRPr="002A60EB">
        <w:rPr>
          <w:rFonts w:ascii="Cambria Math" w:eastAsia="Meiryo UI" w:hAnsi="Cambria Math" w:cs="Cambria Math"/>
          <w:sz w:val="22"/>
          <w:lang w:val="en-GB"/>
        </w:rPr>
        <w:t>‑</w:t>
      </w:r>
      <w:r w:rsidRPr="002A60EB">
        <w:rPr>
          <w:rFonts w:eastAsia="Meiryo UI"/>
          <w:sz w:val="22"/>
          <w:lang w:val="en-GB"/>
        </w:rPr>
        <w:t>chain liquidity tools, are not reflected in the first draft.</w:t>
      </w:r>
    </w:p>
    <w:p w14:paraId="4471E402" w14:textId="77777777" w:rsidR="00560267" w:rsidRPr="002A60EB" w:rsidRDefault="00560267" w:rsidP="00560267">
      <w:pPr>
        <w:pStyle w:val="ListParagraph"/>
        <w:widowControl w:val="0"/>
        <w:spacing w:beforeLines="60" w:before="144" w:afterLines="60" w:after="144" w:line="360" w:lineRule="auto"/>
        <w:ind w:left="1080"/>
        <w:rPr>
          <w:rFonts w:eastAsia="Meiryo UI"/>
          <w:sz w:val="22"/>
          <w:lang w:val="en-GB"/>
        </w:rPr>
      </w:pPr>
    </w:p>
    <w:p w14:paraId="6044F52B" w14:textId="77777777" w:rsidR="00560267" w:rsidRPr="002A60EB" w:rsidRDefault="00560267" w:rsidP="00560267">
      <w:pPr>
        <w:pStyle w:val="ListParagraph"/>
        <w:widowControl w:val="0"/>
        <w:numPr>
          <w:ilvl w:val="0"/>
          <w:numId w:val="8"/>
        </w:numPr>
        <w:spacing w:beforeLines="60" w:before="144" w:afterLines="60" w:after="144" w:line="360" w:lineRule="auto"/>
        <w:rPr>
          <w:rFonts w:eastAsia="Meiryo UI"/>
          <w:sz w:val="22"/>
          <w:lang w:val="en-GB"/>
        </w:rPr>
      </w:pPr>
      <w:r w:rsidRPr="002A60EB">
        <w:rPr>
          <w:rFonts w:eastAsia="Meiryo UI"/>
          <w:sz w:val="22"/>
          <w:lang w:val="en-GB"/>
        </w:rPr>
        <w:t>Given that liquidity constraints remain one of the strongest determinants of SME vulnerability, we encourage the Secretariat to integrate a more comprehensive focus on working</w:t>
      </w:r>
      <w:r w:rsidRPr="002A60EB">
        <w:rPr>
          <w:rFonts w:ascii="Cambria Math" w:eastAsia="Meiryo UI" w:hAnsi="Cambria Math" w:cs="Cambria Math"/>
          <w:sz w:val="22"/>
          <w:lang w:val="en-GB"/>
        </w:rPr>
        <w:t>‑</w:t>
      </w:r>
      <w:r w:rsidRPr="002A60EB">
        <w:rPr>
          <w:rFonts w:eastAsia="Meiryo UI"/>
          <w:sz w:val="22"/>
          <w:lang w:val="en-GB"/>
        </w:rPr>
        <w:t>capital resilience, including enforceable payment timeliness, improving interoperability of digital payment solutions, but also exploring policy levers that encourage predictable cash flows across global value chains.</w:t>
      </w:r>
    </w:p>
    <w:p w14:paraId="507E67A9" w14:textId="77777777" w:rsidR="00560267" w:rsidRPr="002A60EB" w:rsidRDefault="00560267" w:rsidP="00560267">
      <w:pPr>
        <w:pStyle w:val="ListParagraph"/>
        <w:widowControl w:val="0"/>
        <w:spacing w:beforeLines="60" w:before="144" w:afterLines="60" w:after="144" w:line="360" w:lineRule="auto"/>
        <w:ind w:left="1440"/>
        <w:rPr>
          <w:rFonts w:eastAsia="Meiryo UI"/>
          <w:sz w:val="22"/>
          <w:lang w:val="en-GB"/>
        </w:rPr>
      </w:pPr>
    </w:p>
    <w:p w14:paraId="1C5B8D99" w14:textId="77777777" w:rsidR="00560267" w:rsidRPr="002A60EB" w:rsidRDefault="00560267" w:rsidP="00560267">
      <w:pPr>
        <w:pStyle w:val="ListParagraph"/>
        <w:widowControl w:val="0"/>
        <w:numPr>
          <w:ilvl w:val="1"/>
          <w:numId w:val="7"/>
        </w:numPr>
        <w:spacing w:beforeLines="60" w:before="144" w:afterLines="60" w:after="144" w:line="360" w:lineRule="auto"/>
        <w:rPr>
          <w:rFonts w:eastAsia="Meiryo UI"/>
          <w:sz w:val="22"/>
          <w:lang w:val="en-GB"/>
        </w:rPr>
      </w:pPr>
      <w:r w:rsidRPr="002A60EB">
        <w:rPr>
          <w:rFonts w:eastAsia="Meiryo UI"/>
          <w:sz w:val="22"/>
          <w:lang w:val="en-GB"/>
        </w:rPr>
        <w:t xml:space="preserve">Fourth, on </w:t>
      </w:r>
      <w:r w:rsidRPr="002A60EB">
        <w:rPr>
          <w:rFonts w:eastAsia="Meiryo UI"/>
          <w:b/>
          <w:bCs/>
          <w:sz w:val="22"/>
          <w:lang w:val="en-GB"/>
        </w:rPr>
        <w:t>cumulative regulatory burdens and regulatory predictability</w:t>
      </w:r>
      <w:r w:rsidRPr="002A60EB">
        <w:rPr>
          <w:rFonts w:eastAsia="Meiryo UI"/>
          <w:sz w:val="22"/>
          <w:lang w:val="en-GB"/>
        </w:rPr>
        <w:t>: The draft PWB includes a focus on simplifying regulations and integrating an SME lens (see IOR 4.1). However, it remains silent on the quantification of cumulative regulatory burdens and the assessment of regulatory predictability over time.</w:t>
      </w:r>
    </w:p>
    <w:p w14:paraId="7F53D9D4" w14:textId="77777777" w:rsidR="00560267" w:rsidRPr="002A60EB" w:rsidRDefault="00560267" w:rsidP="00560267">
      <w:pPr>
        <w:pStyle w:val="ListParagraph"/>
        <w:widowControl w:val="0"/>
        <w:spacing w:beforeLines="60" w:before="144" w:afterLines="60" w:after="144" w:line="360" w:lineRule="auto"/>
        <w:ind w:left="1080"/>
        <w:rPr>
          <w:rFonts w:eastAsia="Meiryo UI"/>
          <w:sz w:val="22"/>
          <w:lang w:val="en-GB"/>
        </w:rPr>
      </w:pPr>
    </w:p>
    <w:p w14:paraId="4ED8A382" w14:textId="77777777" w:rsidR="00560267" w:rsidRPr="002A60EB" w:rsidRDefault="00560267" w:rsidP="00560267">
      <w:pPr>
        <w:pStyle w:val="ListParagraph"/>
        <w:widowControl w:val="0"/>
        <w:numPr>
          <w:ilvl w:val="0"/>
          <w:numId w:val="8"/>
        </w:numPr>
        <w:spacing w:beforeLines="60" w:before="144" w:afterLines="60" w:after="144" w:line="360" w:lineRule="auto"/>
        <w:rPr>
          <w:rFonts w:eastAsia="Meiryo UI"/>
          <w:sz w:val="22"/>
          <w:lang w:val="en-GB"/>
        </w:rPr>
      </w:pPr>
      <w:r w:rsidRPr="002A60EB">
        <w:rPr>
          <w:rFonts w:eastAsia="Meiryo UI"/>
          <w:sz w:val="22"/>
          <w:lang w:val="en-GB"/>
        </w:rPr>
        <w:t>To strengthen relevance and ensure reforms reduce real</w:t>
      </w:r>
      <w:r w:rsidRPr="002A60EB">
        <w:rPr>
          <w:rFonts w:ascii="Cambria Math" w:eastAsia="Meiryo UI" w:hAnsi="Cambria Math" w:cs="Cambria Math"/>
          <w:sz w:val="22"/>
          <w:lang w:val="en-GB"/>
        </w:rPr>
        <w:t>‑</w:t>
      </w:r>
      <w:r w:rsidRPr="002A60EB">
        <w:rPr>
          <w:rFonts w:eastAsia="Meiryo UI"/>
          <w:sz w:val="22"/>
          <w:lang w:val="en-GB"/>
        </w:rPr>
        <w:t xml:space="preserve">world burdens, we encourage explicit inclusion of: (i)cumulative burden measurement; (ii)regulatory impact assessments tailored to SMEs; (iii) predictability of </w:t>
      </w:r>
      <w:r w:rsidRPr="002A60EB">
        <w:rPr>
          <w:rFonts w:eastAsia="Meiryo UI"/>
          <w:sz w:val="22"/>
          <w:lang w:val="en-GB"/>
        </w:rPr>
        <w:lastRenderedPageBreak/>
        <w:t>regulatory change; and (iv) simplified compliance pathways for micro</w:t>
      </w:r>
      <w:r w:rsidRPr="002A60EB">
        <w:rPr>
          <w:rFonts w:ascii="Cambria Math" w:eastAsia="Meiryo UI" w:hAnsi="Cambria Math" w:cs="Cambria Math"/>
          <w:sz w:val="22"/>
          <w:lang w:val="en-GB"/>
        </w:rPr>
        <w:t>‑</w:t>
      </w:r>
      <w:r w:rsidRPr="002A60EB">
        <w:rPr>
          <w:rFonts w:eastAsia="Meiryo UI"/>
          <w:sz w:val="22"/>
          <w:lang w:val="en-GB"/>
        </w:rPr>
        <w:t>enterprises.</w:t>
      </w:r>
    </w:p>
    <w:p w14:paraId="6805980D" w14:textId="77777777" w:rsidR="00560267" w:rsidRPr="002A60EB" w:rsidRDefault="00560267" w:rsidP="00560267">
      <w:pPr>
        <w:pStyle w:val="ListParagraph"/>
        <w:widowControl w:val="0"/>
        <w:spacing w:beforeLines="60" w:before="144" w:afterLines="60" w:after="144" w:line="360" w:lineRule="auto"/>
        <w:ind w:left="1440"/>
        <w:rPr>
          <w:rFonts w:eastAsia="Meiryo UI"/>
          <w:sz w:val="22"/>
          <w:lang w:val="en-GB"/>
        </w:rPr>
      </w:pPr>
    </w:p>
    <w:p w14:paraId="39A72528" w14:textId="254A9822" w:rsidR="00560267" w:rsidRPr="002A60EB" w:rsidRDefault="00560267" w:rsidP="00560267">
      <w:pPr>
        <w:pStyle w:val="ListParagraph"/>
        <w:widowControl w:val="0"/>
        <w:numPr>
          <w:ilvl w:val="1"/>
          <w:numId w:val="7"/>
        </w:numPr>
        <w:spacing w:beforeLines="60" w:before="144" w:afterLines="60" w:after="144" w:line="360" w:lineRule="auto"/>
        <w:rPr>
          <w:rFonts w:eastAsia="Meiryo UI"/>
          <w:sz w:val="22"/>
          <w:lang w:val="en-GB"/>
        </w:rPr>
      </w:pPr>
      <w:r w:rsidRPr="002A60EB">
        <w:rPr>
          <w:rFonts w:eastAsia="Meiryo UI"/>
          <w:sz w:val="22"/>
          <w:lang w:val="en-GB"/>
        </w:rPr>
        <w:t xml:space="preserve">Fifth, on </w:t>
      </w:r>
      <w:r w:rsidRPr="002A60EB">
        <w:rPr>
          <w:rFonts w:eastAsia="Meiryo UI"/>
          <w:b/>
          <w:bCs/>
          <w:sz w:val="22"/>
          <w:lang w:val="en-GB"/>
        </w:rPr>
        <w:t>entrepreneurship education and skill</w:t>
      </w:r>
      <w:r w:rsidRPr="002A60EB">
        <w:rPr>
          <w:rFonts w:ascii="Cambria Math" w:eastAsia="Meiryo UI" w:hAnsi="Cambria Math" w:cs="Cambria Math"/>
          <w:b/>
          <w:bCs/>
          <w:sz w:val="22"/>
          <w:lang w:val="en-GB"/>
        </w:rPr>
        <w:t>‑</w:t>
      </w:r>
      <w:r w:rsidRPr="002A60EB">
        <w:rPr>
          <w:rFonts w:eastAsia="Meiryo UI"/>
          <w:b/>
          <w:bCs/>
          <w:sz w:val="22"/>
          <w:lang w:val="en-GB"/>
        </w:rPr>
        <w:t>building ecosystems</w:t>
      </w:r>
      <w:r w:rsidRPr="002A60EB">
        <w:rPr>
          <w:rFonts w:eastAsia="Meiryo UI"/>
          <w:sz w:val="22"/>
          <w:lang w:val="en-GB"/>
        </w:rPr>
        <w:t>: The PWB references women and youth entrepreneurship (see IOR 2.3</w:t>
      </w:r>
      <w:r w:rsidR="00BB277C" w:rsidRPr="002A60EB">
        <w:rPr>
          <w:rFonts w:eastAsia="Meiryo UI"/>
          <w:sz w:val="22"/>
          <w:lang w:val="en-GB"/>
        </w:rPr>
        <w:t>) but</w:t>
      </w:r>
      <w:r w:rsidRPr="002A60EB">
        <w:rPr>
          <w:rFonts w:eastAsia="Meiryo UI"/>
          <w:sz w:val="22"/>
          <w:lang w:val="en-GB"/>
        </w:rPr>
        <w:t xml:space="preserve"> does not reflect BIAC’s call for entrepreneurship education at all levels, structured mentoring systems, or enhanced financial/legal literacy support for aspiring entrepreneurs.</w:t>
      </w:r>
    </w:p>
    <w:p w14:paraId="5C4941BA" w14:textId="77777777" w:rsidR="00560267" w:rsidRPr="002A60EB" w:rsidRDefault="00560267" w:rsidP="00560267">
      <w:pPr>
        <w:pStyle w:val="ListParagraph"/>
        <w:widowControl w:val="0"/>
        <w:spacing w:beforeLines="60" w:before="144" w:afterLines="60" w:after="144" w:line="360" w:lineRule="auto"/>
        <w:ind w:left="1080"/>
        <w:rPr>
          <w:rFonts w:eastAsia="Meiryo UI"/>
          <w:sz w:val="22"/>
          <w:lang w:val="en-GB"/>
        </w:rPr>
      </w:pPr>
    </w:p>
    <w:p w14:paraId="016B6061" w14:textId="61F4D10F" w:rsidR="00560267" w:rsidRPr="002A60EB" w:rsidRDefault="00560267" w:rsidP="00B5515E">
      <w:pPr>
        <w:pStyle w:val="ListParagraph"/>
        <w:widowControl w:val="0"/>
        <w:numPr>
          <w:ilvl w:val="0"/>
          <w:numId w:val="8"/>
        </w:numPr>
        <w:spacing w:beforeLines="60" w:before="144" w:afterLines="60" w:after="144" w:line="360" w:lineRule="auto"/>
        <w:rPr>
          <w:rFonts w:eastAsia="Meiryo UI"/>
          <w:sz w:val="22"/>
          <w:lang w:val="en-GB"/>
        </w:rPr>
      </w:pPr>
      <w:r w:rsidRPr="002A60EB">
        <w:rPr>
          <w:rFonts w:eastAsia="Meiryo UI"/>
          <w:sz w:val="22"/>
          <w:lang w:val="en-GB"/>
        </w:rPr>
        <w:t>We encourage the Secretariat to incorporate explicit work on embedding entrepreneurial skills in education systems, with peer</w:t>
      </w:r>
      <w:r w:rsidRPr="002A60EB">
        <w:rPr>
          <w:rFonts w:ascii="Cambria Math" w:eastAsia="Meiryo UI" w:hAnsi="Cambria Math" w:cs="Cambria Math"/>
          <w:sz w:val="22"/>
          <w:lang w:val="en-GB"/>
        </w:rPr>
        <w:t>‑</w:t>
      </w:r>
      <w:r w:rsidRPr="002A60EB">
        <w:rPr>
          <w:rFonts w:eastAsia="Meiryo UI"/>
          <w:sz w:val="22"/>
          <w:lang w:val="en-GB"/>
        </w:rPr>
        <w:t>learning and mentorship mechanisms as well as financial and legal literacy for new founders</w:t>
      </w:r>
      <w:r w:rsidR="0017281F" w:rsidRPr="002A60EB">
        <w:rPr>
          <w:rFonts w:eastAsia="Meiryo UI"/>
          <w:sz w:val="22"/>
          <w:lang w:val="en-GB"/>
        </w:rPr>
        <w:t xml:space="preserve"> (In IOR 1.2)</w:t>
      </w:r>
      <w:r w:rsidRPr="002A60EB">
        <w:rPr>
          <w:rFonts w:eastAsia="Meiryo UI"/>
          <w:sz w:val="22"/>
          <w:lang w:val="en-GB"/>
        </w:rPr>
        <w:t>. These tools are essential to expanding the entrepreneurial pool and unlocking untapped potential across populations.</w:t>
      </w:r>
      <w:r w:rsidR="00B5515E" w:rsidRPr="002A60EB">
        <w:rPr>
          <w:rFonts w:eastAsia="Meiryo UI"/>
          <w:sz w:val="22"/>
          <w:lang w:val="en-GB"/>
        </w:rPr>
        <w:t xml:space="preserve"> We encourage the Secretariat to explore how the existing commercial interactions of large businesses with SMEs in their value chain (suppliers and customers) could provide a more effective communication channel for governments to disseminate skills development training, by governments partnering with large businesses to deliver the training rather than through standalone government programmes (also in IOR 1.2).</w:t>
      </w:r>
    </w:p>
    <w:p w14:paraId="0F5D1A9F" w14:textId="77777777" w:rsidR="00560267" w:rsidRPr="002A60EB" w:rsidRDefault="00560267" w:rsidP="00560267">
      <w:pPr>
        <w:pStyle w:val="ListParagraph"/>
        <w:widowControl w:val="0"/>
        <w:spacing w:beforeLines="60" w:before="144" w:afterLines="60" w:after="144" w:line="360" w:lineRule="auto"/>
        <w:ind w:left="1440"/>
        <w:rPr>
          <w:rFonts w:eastAsia="Meiryo UI"/>
          <w:sz w:val="22"/>
          <w:lang w:val="en-GB"/>
        </w:rPr>
      </w:pPr>
    </w:p>
    <w:p w14:paraId="77F13437" w14:textId="77777777" w:rsidR="00F03DF9" w:rsidRPr="002A60EB" w:rsidRDefault="00560267" w:rsidP="00295943">
      <w:pPr>
        <w:pStyle w:val="ListParagraph"/>
        <w:widowControl w:val="0"/>
        <w:numPr>
          <w:ilvl w:val="1"/>
          <w:numId w:val="7"/>
        </w:numPr>
        <w:spacing w:beforeLines="60" w:before="144" w:afterLines="60" w:after="144" w:line="360" w:lineRule="auto"/>
        <w:rPr>
          <w:rFonts w:eastAsia="Meiryo UI"/>
          <w:sz w:val="22"/>
          <w:lang w:val="en-GB"/>
        </w:rPr>
      </w:pPr>
      <w:r w:rsidRPr="002A60EB">
        <w:rPr>
          <w:rFonts w:eastAsia="Meiryo UI"/>
          <w:sz w:val="22"/>
          <w:lang w:val="en-GB"/>
        </w:rPr>
        <w:t xml:space="preserve">Finally, on </w:t>
      </w:r>
      <w:r w:rsidRPr="002A60EB">
        <w:rPr>
          <w:rFonts w:eastAsia="Meiryo UI"/>
          <w:b/>
          <w:bCs/>
          <w:sz w:val="22"/>
          <w:lang w:val="en-GB"/>
        </w:rPr>
        <w:t>SME owners’ well</w:t>
      </w:r>
      <w:r w:rsidRPr="002A60EB">
        <w:rPr>
          <w:rFonts w:ascii="Cambria Math" w:eastAsia="Meiryo UI" w:hAnsi="Cambria Math" w:cs="Cambria Math"/>
          <w:b/>
          <w:bCs/>
          <w:sz w:val="22"/>
          <w:lang w:val="en-GB"/>
        </w:rPr>
        <w:t>‑</w:t>
      </w:r>
      <w:r w:rsidRPr="002A60EB">
        <w:rPr>
          <w:rFonts w:eastAsia="Meiryo UI"/>
          <w:b/>
          <w:bCs/>
          <w:sz w:val="22"/>
          <w:lang w:val="en-GB"/>
        </w:rPr>
        <w:t>being</w:t>
      </w:r>
      <w:r w:rsidRPr="002A60EB">
        <w:rPr>
          <w:rFonts w:eastAsia="Meiryo UI"/>
          <w:sz w:val="22"/>
          <w:lang w:val="en-GB"/>
        </w:rPr>
        <w:t xml:space="preserve">: The PWB does not </w:t>
      </w:r>
      <w:r w:rsidR="00295943" w:rsidRPr="002A60EB">
        <w:rPr>
          <w:rFonts w:eastAsia="Meiryo UI"/>
          <w:sz w:val="22"/>
          <w:lang w:val="en-GB"/>
        </w:rPr>
        <w:t>address the situation of entrepreneurs and SME owners, we see value in better reflecting the challenges they face when moving from secure employment into entrepreneurship. In many OECD countries, high opportunity costs and the loss of employment</w:t>
      </w:r>
      <w:r w:rsidR="00295943" w:rsidRPr="002A60EB">
        <w:rPr>
          <w:rFonts w:eastAsia="Meiryo UI"/>
          <w:sz w:val="22"/>
          <w:lang w:val="en-GB"/>
        </w:rPr>
        <w:noBreakHyphen/>
        <w:t xml:space="preserve">based social benefits can act as significant barriers, making the transition appear too risky. </w:t>
      </w:r>
    </w:p>
    <w:p w14:paraId="668D9777" w14:textId="77777777" w:rsidR="00F03DF9" w:rsidRPr="002A60EB" w:rsidRDefault="00F03DF9" w:rsidP="00F03DF9">
      <w:pPr>
        <w:pStyle w:val="ListParagraph"/>
        <w:widowControl w:val="0"/>
        <w:spacing w:beforeLines="60" w:before="144" w:afterLines="60" w:after="144" w:line="360" w:lineRule="auto"/>
        <w:ind w:left="1080"/>
        <w:rPr>
          <w:rFonts w:eastAsia="Meiryo UI"/>
          <w:sz w:val="22"/>
          <w:lang w:val="en-GB"/>
        </w:rPr>
      </w:pPr>
    </w:p>
    <w:p w14:paraId="169E4C47" w14:textId="2D62ADF5" w:rsidR="00295943" w:rsidRPr="002A60EB" w:rsidRDefault="00295943" w:rsidP="00F03DF9">
      <w:pPr>
        <w:pStyle w:val="ListParagraph"/>
        <w:widowControl w:val="0"/>
        <w:numPr>
          <w:ilvl w:val="0"/>
          <w:numId w:val="8"/>
        </w:numPr>
        <w:spacing w:beforeLines="60" w:before="144" w:afterLines="60" w:after="144" w:line="360" w:lineRule="auto"/>
        <w:rPr>
          <w:rFonts w:eastAsia="Meiryo UI"/>
          <w:sz w:val="22"/>
          <w:lang w:val="en-GB"/>
        </w:rPr>
      </w:pPr>
      <w:r w:rsidRPr="002A60EB">
        <w:rPr>
          <w:rFonts w:eastAsia="Meiryo UI"/>
          <w:sz w:val="22"/>
          <w:lang w:val="en-GB"/>
        </w:rPr>
        <w:t>We therefore encourage the Secretariat to integrate elements related to SME owners’ and entrepreneurs’ well</w:t>
      </w:r>
      <w:r w:rsidRPr="002A60EB">
        <w:rPr>
          <w:rFonts w:eastAsia="Meiryo UI"/>
          <w:sz w:val="22"/>
          <w:lang w:val="en-GB"/>
        </w:rPr>
        <w:noBreakHyphen/>
        <w:t>being</w:t>
      </w:r>
      <w:r w:rsidR="00F03DF9" w:rsidRPr="002A60EB">
        <w:rPr>
          <w:rFonts w:eastAsia="Meiryo UI"/>
          <w:sz w:val="22"/>
          <w:lang w:val="en-GB"/>
        </w:rPr>
        <w:t xml:space="preserve">, </w:t>
      </w:r>
      <w:r w:rsidRPr="002A60EB">
        <w:rPr>
          <w:rFonts w:eastAsia="Meiryo UI"/>
          <w:sz w:val="22"/>
          <w:lang w:val="en-GB"/>
        </w:rPr>
        <w:t>such as access to advisory services and links to social protection</w:t>
      </w:r>
      <w:r w:rsidR="00F03DF9" w:rsidRPr="002A60EB">
        <w:rPr>
          <w:rFonts w:eastAsia="Meiryo UI"/>
          <w:sz w:val="22"/>
          <w:lang w:val="en-GB"/>
        </w:rPr>
        <w:t>, r</w:t>
      </w:r>
      <w:r w:rsidRPr="002A60EB">
        <w:rPr>
          <w:rFonts w:eastAsia="Meiryo UI"/>
          <w:sz w:val="22"/>
          <w:lang w:val="en-GB"/>
        </w:rPr>
        <w:t>ecognising their importance for lowering entry barriers and supporting sustainable entrepreneurship across OECD Members.</w:t>
      </w:r>
    </w:p>
    <w:p w14:paraId="45A339A6" w14:textId="77777777" w:rsidR="00560267" w:rsidRPr="002A60EB" w:rsidRDefault="00560267" w:rsidP="00C51C48">
      <w:pPr>
        <w:pStyle w:val="ListParagraph"/>
        <w:widowControl w:val="0"/>
        <w:spacing w:beforeLines="60" w:before="144" w:afterLines="60" w:after="144" w:line="360" w:lineRule="auto"/>
        <w:ind w:left="1080"/>
        <w:rPr>
          <w:rFonts w:eastAsia="Meiryo UI"/>
          <w:sz w:val="22"/>
          <w:lang w:val="en-GB"/>
        </w:rPr>
      </w:pPr>
    </w:p>
    <w:p w14:paraId="33374981" w14:textId="4639C338" w:rsidR="000807F1" w:rsidRPr="002A60EB" w:rsidRDefault="00560267" w:rsidP="00995C84">
      <w:pPr>
        <w:pStyle w:val="ListParagraph"/>
        <w:widowControl w:val="0"/>
        <w:numPr>
          <w:ilvl w:val="0"/>
          <w:numId w:val="7"/>
        </w:numPr>
        <w:spacing w:beforeLines="60" w:before="144" w:afterLines="60" w:after="144" w:line="360" w:lineRule="auto"/>
        <w:rPr>
          <w:rFonts w:eastAsia="Meiryo UI"/>
          <w:b/>
          <w:bCs/>
          <w:sz w:val="22"/>
          <w:lang w:val="en-GB"/>
        </w:rPr>
      </w:pPr>
      <w:r w:rsidRPr="002A60EB">
        <w:rPr>
          <w:rFonts w:eastAsia="Meiryo UI"/>
          <w:b/>
          <w:bCs/>
          <w:sz w:val="22"/>
          <w:lang w:val="en-GB"/>
        </w:rPr>
        <w:t xml:space="preserve">Additional comments: </w:t>
      </w:r>
      <w:r w:rsidRPr="002A60EB">
        <w:rPr>
          <w:rFonts w:eastAsia="Meiryo UI"/>
          <w:i/>
          <w:iCs/>
          <w:sz w:val="22"/>
          <w:lang w:val="en-GB"/>
        </w:rPr>
        <w:t>Business at OECD</w:t>
      </w:r>
      <w:r w:rsidRPr="002A60EB">
        <w:rPr>
          <w:rFonts w:eastAsia="Meiryo UI"/>
          <w:sz w:val="22"/>
          <w:lang w:val="en-GB"/>
        </w:rPr>
        <w:t xml:space="preserve"> fully supports the overall direction of the draft PWB 2027–30 and appreciates the strong alignment with several key business priorities. We encourage the integration of the above clarifications to ensure that the final PWB is proportionate and fully tailored to the realities of SMEs across OECD economies. We look forward to continued cooperation with the Secretariat in the refinement and successful finalisation of the PWB 2027–30.</w:t>
      </w:r>
    </w:p>
    <w:sectPr w:rsidR="000807F1" w:rsidRPr="002A60EB" w:rsidSect="00DF278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985" w:left="1440" w:header="567"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C6543" w14:textId="77777777" w:rsidR="00B50CE6" w:rsidRDefault="00B50CE6" w:rsidP="00C35E5D">
      <w:pPr>
        <w:spacing w:after="0" w:line="240" w:lineRule="auto"/>
      </w:pPr>
      <w:r>
        <w:separator/>
      </w:r>
    </w:p>
  </w:endnote>
  <w:endnote w:type="continuationSeparator" w:id="0">
    <w:p w14:paraId="7516D550" w14:textId="77777777" w:rsidR="00B50CE6" w:rsidRDefault="00B50CE6" w:rsidP="00C35E5D">
      <w:pPr>
        <w:spacing w:after="0" w:line="240" w:lineRule="auto"/>
      </w:pPr>
      <w:r>
        <w:continuationSeparator/>
      </w:r>
    </w:p>
  </w:endnote>
  <w:endnote w:type="continuationNotice" w:id="1">
    <w:p w14:paraId="59B9D88F" w14:textId="77777777" w:rsidR="00B50CE6" w:rsidRDefault="00B50C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altName w:val="Avenir Next LT Pro"/>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UI">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A7CD" w14:textId="0C35D5FB" w:rsidR="000C76A9" w:rsidRDefault="00CA5942">
    <w:pPr>
      <w:pStyle w:val="Footer"/>
    </w:pPr>
    <w:r>
      <w:rPr>
        <w:noProof/>
      </w:rPr>
      <mc:AlternateContent>
        <mc:Choice Requires="wps">
          <w:drawing>
            <wp:anchor distT="0" distB="0" distL="0" distR="0" simplePos="0" relativeHeight="251660291" behindDoc="0" locked="0" layoutInCell="1" allowOverlap="1" wp14:anchorId="085EBC61" wp14:editId="5F244C1B">
              <wp:simplePos x="635" y="635"/>
              <wp:positionH relativeFrom="page">
                <wp:align>center</wp:align>
              </wp:positionH>
              <wp:positionV relativeFrom="page">
                <wp:align>bottom</wp:align>
              </wp:positionV>
              <wp:extent cx="1708150" cy="357505"/>
              <wp:effectExtent l="0" t="0" r="6350" b="0"/>
              <wp:wrapNone/>
              <wp:docPr id="703083566"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2CBE88E6" w14:textId="2496A670"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5EBC61"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34.5pt;height:28.15pt;z-index:2516602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" filled="f" stroked="f">
              <v:textbox style="mso-fit-shape-to-text:t" inset="0,0,0,15pt">
                <w:txbxContent>
                  <w:p w14:paraId="2CBE88E6" w14:textId="2496A670"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9574" w14:textId="77777777" w:rsidR="00560267" w:rsidRDefault="00CA5942" w:rsidP="000807F1">
    <w:pPr>
      <w:pStyle w:val="Footer"/>
      <w:jc w:val="right"/>
    </w:pPr>
    <w:r>
      <w:rPr>
        <w:noProof/>
      </w:rPr>
      <mc:AlternateContent>
        <mc:Choice Requires="wps">
          <w:drawing>
            <wp:anchor distT="0" distB="0" distL="0" distR="0" simplePos="0" relativeHeight="251661315" behindDoc="0" locked="0" layoutInCell="1" allowOverlap="1" wp14:anchorId="1CF50EEB" wp14:editId="142D8C29">
              <wp:simplePos x="635" y="635"/>
              <wp:positionH relativeFrom="page">
                <wp:align>center</wp:align>
              </wp:positionH>
              <wp:positionV relativeFrom="page">
                <wp:align>bottom</wp:align>
              </wp:positionV>
              <wp:extent cx="1708150" cy="357505"/>
              <wp:effectExtent l="0" t="0" r="6350" b="0"/>
              <wp:wrapNone/>
              <wp:docPr id="2088958694"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5FBA1ABB" w14:textId="01A06CFA"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F50EEB"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34.5pt;height:28.15pt;z-index:2516613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" filled="f" stroked="f">
              <v:textbox style="mso-fit-shape-to-text:t" inset="0,0,0,15pt">
                <w:txbxContent>
                  <w:p w14:paraId="5FBA1ABB" w14:textId="01A06CFA"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v:textbox>
              <w10:wrap anchorx="page" anchory="page"/>
            </v:shape>
          </w:pict>
        </mc:Fallback>
      </mc:AlternateContent>
    </w:r>
  </w:p>
  <w:sdt>
    <w:sdtPr>
      <w:id w:val="-989780343"/>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217A5B2" w14:textId="5C89E79F" w:rsidR="00126793" w:rsidRPr="00CD1569" w:rsidRDefault="00CD1569" w:rsidP="000807F1">
            <w:pPr>
              <w:pStyle w:val="Footer"/>
              <w:jc w:val="right"/>
              <w:rPr>
                <w:b/>
                <w:bCs/>
                <w:color w:val="F9F9F5" w:themeColor="accent1"/>
                <w:sz w:val="20"/>
                <w:szCs w:val="20"/>
              </w:rPr>
            </w:pPr>
            <w:r w:rsidRPr="00CD1569">
              <w:rPr>
                <w:noProof/>
                <w:sz w:val="20"/>
                <w:szCs w:val="20"/>
              </w:rPr>
              <mc:AlternateContent>
                <mc:Choice Requires="wps">
                  <w:drawing>
                    <wp:anchor distT="0" distB="0" distL="114300" distR="114300" simplePos="0" relativeHeight="251658243" behindDoc="0" locked="0" layoutInCell="1" allowOverlap="1" wp14:anchorId="30460975" wp14:editId="0CBA7D6E">
                      <wp:simplePos x="0" y="0"/>
                      <wp:positionH relativeFrom="column">
                        <wp:posOffset>-13335</wp:posOffset>
                      </wp:positionH>
                      <wp:positionV relativeFrom="paragraph">
                        <wp:posOffset>-237168</wp:posOffset>
                      </wp:positionV>
                      <wp:extent cx="5724000" cy="0"/>
                      <wp:effectExtent l="0" t="0" r="0" b="0"/>
                      <wp:wrapNone/>
                      <wp:docPr id="11243925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6BBB7BD9" id="Straight Connector 1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65pt" to="449.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" strokeweight=".5pt">
                      <v:stroke joinstyle="miter"/>
                      <o:lock v:ext="edit" shapetype="f"/>
                    </v:line>
                  </w:pict>
                </mc:Fallback>
              </mc:AlternateContent>
            </w:r>
            <w:r w:rsidR="0007754B" w:rsidRPr="00CD1569">
              <w:rPr>
                <w:i/>
                <w:iCs/>
                <w:color w:val="281F6B"/>
                <w:sz w:val="20"/>
                <w:szCs w:val="20"/>
              </w:rPr>
              <w:t>Business at OECD</w:t>
            </w:r>
            <w:r w:rsidR="0007754B" w:rsidRPr="00CD1569">
              <w:rPr>
                <w:color w:val="281F6B"/>
                <w:sz w:val="20"/>
                <w:szCs w:val="20"/>
              </w:rPr>
              <w:t xml:space="preserve"> (BIAC) </w:t>
            </w:r>
            <w:r w:rsidR="0007754B" w:rsidRPr="00CD1569">
              <w:rPr>
                <w:color w:val="281F6B"/>
                <w:sz w:val="20"/>
                <w:szCs w:val="20"/>
              </w:rPr>
              <w:tab/>
            </w:r>
            <w:r w:rsidR="0007754B" w:rsidRPr="00CD1569">
              <w:rPr>
                <w:color w:val="281F6B"/>
                <w:sz w:val="20"/>
                <w:szCs w:val="20"/>
              </w:rPr>
              <w:tab/>
            </w:r>
            <w:r w:rsidR="000807F1" w:rsidRPr="00941086">
              <w:rPr>
                <w:color w:val="281F6B" w:themeColor="accent2"/>
                <w:sz w:val="20"/>
                <w:szCs w:val="20"/>
              </w:rPr>
              <w:t xml:space="preserve">Page </w:t>
            </w:r>
            <w:r w:rsidR="000807F1" w:rsidRPr="00941086">
              <w:rPr>
                <w:color w:val="281F6B" w:themeColor="accent2"/>
                <w:sz w:val="20"/>
                <w:szCs w:val="20"/>
              </w:rPr>
              <w:fldChar w:fldCharType="begin"/>
            </w:r>
            <w:r w:rsidR="000807F1" w:rsidRPr="00941086">
              <w:rPr>
                <w:color w:val="281F6B" w:themeColor="accent2"/>
                <w:sz w:val="20"/>
                <w:szCs w:val="20"/>
              </w:rPr>
              <w:instrText xml:space="preserve"> PAGE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r w:rsidR="000807F1" w:rsidRPr="00941086">
              <w:rPr>
                <w:color w:val="281F6B" w:themeColor="accent2"/>
                <w:sz w:val="20"/>
                <w:szCs w:val="20"/>
              </w:rPr>
              <w:t xml:space="preserve"> of </w:t>
            </w:r>
            <w:r w:rsidR="000807F1" w:rsidRPr="00941086">
              <w:rPr>
                <w:color w:val="281F6B" w:themeColor="accent2"/>
                <w:sz w:val="20"/>
                <w:szCs w:val="20"/>
              </w:rPr>
              <w:fldChar w:fldCharType="begin"/>
            </w:r>
            <w:r w:rsidR="000807F1" w:rsidRPr="00941086">
              <w:rPr>
                <w:color w:val="281F6B" w:themeColor="accent2"/>
                <w:sz w:val="20"/>
                <w:szCs w:val="20"/>
              </w:rPr>
              <w:instrText xml:space="preserve"> NUMPAGES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p>
          <w:p w14:paraId="1742121F" w14:textId="1E99ECA1" w:rsidR="000807F1" w:rsidRPr="00CD1569" w:rsidRDefault="00B50CE6" w:rsidP="000807F1">
            <w:pPr>
              <w:pStyle w:val="Footer"/>
              <w:jc w:val="right"/>
              <w:rPr>
                <w:sz w:val="20"/>
                <w:szCs w:val="20"/>
              </w:rPr>
            </w:pPr>
          </w:p>
        </w:sdtContent>
      </w:sdt>
    </w:sdtContent>
  </w:sdt>
  <w:p w14:paraId="7C25F34D" w14:textId="77777777" w:rsidR="007F14F3" w:rsidRPr="00CD1569" w:rsidRDefault="007F14F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1DBA" w14:textId="770C03E5" w:rsidR="006A7DE0" w:rsidRPr="005209AB" w:rsidRDefault="00CA5942" w:rsidP="003D0809">
    <w:pPr>
      <w:pStyle w:val="a"/>
      <w:rPr>
        <w:rFonts w:ascii="Avenir Next LT Pro" w:hAnsi="Avenir Next LT Pro"/>
        <w:color w:val="281F6B"/>
        <w:sz w:val="20"/>
        <w:lang w:val="en-US"/>
      </w:rPr>
    </w:pPr>
    <w:r>
      <w:rPr>
        <w:noProof/>
        <w:sz w:val="2"/>
        <w:szCs w:val="2"/>
      </w:rPr>
      <mc:AlternateContent>
        <mc:Choice Requires="wps">
          <w:drawing>
            <wp:anchor distT="0" distB="0" distL="0" distR="0" simplePos="0" relativeHeight="251659267" behindDoc="0" locked="0" layoutInCell="1" allowOverlap="1" wp14:anchorId="22FE506B" wp14:editId="69E630EC">
              <wp:simplePos x="635" y="635"/>
              <wp:positionH relativeFrom="page">
                <wp:align>center</wp:align>
              </wp:positionH>
              <wp:positionV relativeFrom="page">
                <wp:align>bottom</wp:align>
              </wp:positionV>
              <wp:extent cx="1708150" cy="357505"/>
              <wp:effectExtent l="0" t="0" r="6350" b="0"/>
              <wp:wrapNone/>
              <wp:docPr id="161554301"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5CD55694" w14:textId="7F674647"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FE506B"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34.5pt;height:28.15pt;z-index:2516592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" filled="f" stroked="f">
              <v:textbox style="mso-fit-shape-to-text:t" inset="0,0,0,15pt">
                <w:txbxContent>
                  <w:p w14:paraId="5CD55694" w14:textId="7F674647"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v:textbox>
              <w10:wrap anchorx="page" anchory="page"/>
            </v:shape>
          </w:pict>
        </mc:Fallback>
      </mc:AlternateContent>
    </w:r>
    <w:r w:rsidR="00CD1569" w:rsidRPr="00B94317">
      <w:rPr>
        <w:noProof/>
        <w:sz w:val="2"/>
        <w:szCs w:val="2"/>
      </w:rPr>
      <mc:AlternateContent>
        <mc:Choice Requires="wps">
          <w:drawing>
            <wp:anchor distT="0" distB="0" distL="114300" distR="114300" simplePos="0" relativeHeight="251658242" behindDoc="0" locked="0" layoutInCell="1" allowOverlap="1" wp14:anchorId="6EB1E432" wp14:editId="2A127FE7">
              <wp:simplePos x="0" y="0"/>
              <wp:positionH relativeFrom="column">
                <wp:posOffset>-13335</wp:posOffset>
              </wp:positionH>
              <wp:positionV relativeFrom="paragraph">
                <wp:posOffset>-184463</wp:posOffset>
              </wp:positionV>
              <wp:extent cx="5724000" cy="0"/>
              <wp:effectExtent l="0" t="0" r="0" b="0"/>
              <wp:wrapNone/>
              <wp:docPr id="84608693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5CEF28A2" id="Straight Connector 1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4.5pt" to="449.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" strokeweight=".5pt">
              <v:stroke joinstyle="miter"/>
              <o:lock v:ext="edit" shapetype="f"/>
            </v:line>
          </w:pict>
        </mc:Fallback>
      </mc:AlternateContent>
    </w:r>
    <w:r w:rsidR="005209AB" w:rsidRPr="005209AB">
      <w:rPr>
        <w:rFonts w:ascii="Avenir Next LT Pro" w:hAnsi="Avenir Next LT Pro"/>
        <w:noProof/>
        <w:color w:val="281F6B"/>
        <w:sz w:val="20"/>
        <w:lang w:val="fr-FR"/>
      </w:rPr>
      <w:drawing>
        <wp:anchor distT="0" distB="0" distL="114300" distR="114300" simplePos="0" relativeHeight="251658241" behindDoc="0" locked="0" layoutInCell="1" allowOverlap="1" wp14:anchorId="6BEB1537" wp14:editId="43BBA6B1">
          <wp:simplePos x="0" y="0"/>
          <wp:positionH relativeFrom="column">
            <wp:posOffset>2038350</wp:posOffset>
          </wp:positionH>
          <wp:positionV relativeFrom="paragraph">
            <wp:posOffset>-18415</wp:posOffset>
          </wp:positionV>
          <wp:extent cx="196040" cy="540000"/>
          <wp:effectExtent l="0" t="0" r="0" b="0"/>
          <wp:wrapNone/>
          <wp:docPr id="28730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29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6040" cy="540000"/>
                  </a:xfrm>
                  <a:prstGeom prst="rect">
                    <a:avLst/>
                  </a:prstGeom>
                </pic:spPr>
              </pic:pic>
            </a:graphicData>
          </a:graphic>
          <wp14:sizeRelH relativeFrom="page">
            <wp14:pctWidth>0</wp14:pctWidth>
          </wp14:sizeRelH>
          <wp14:sizeRelV relativeFrom="page">
            <wp14:pctHeight>0</wp14:pctHeight>
          </wp14:sizeRelV>
        </wp:anchor>
      </w:drawing>
    </w:r>
    <w:r w:rsidR="00C62388" w:rsidRPr="005209AB">
      <w:rPr>
        <w:rFonts w:ascii="Avenir Next LT Pro" w:hAnsi="Avenir Next LT Pro"/>
        <w:i/>
        <w:iCs/>
        <w:color w:val="281F6B"/>
        <w:sz w:val="20"/>
        <w:lang w:val="en-US"/>
      </w:rPr>
      <w:t>Business at OECD</w:t>
    </w:r>
    <w:r w:rsidR="00C62388" w:rsidRPr="005209AB">
      <w:rPr>
        <w:rFonts w:ascii="Avenir Next LT Pro" w:hAnsi="Avenir Next LT Pro"/>
        <w:color w:val="281F6B"/>
        <w:sz w:val="20"/>
        <w:lang w:val="en-US"/>
      </w:rPr>
      <w:t xml:space="preserve"> (BIAC)</w:t>
    </w:r>
    <w:r w:rsidR="00C62388"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3D0809" w:rsidRPr="005209AB">
      <w:rPr>
        <w:rFonts w:ascii="Avenir Next LT Pro" w:hAnsi="Avenir Next LT Pro"/>
        <w:color w:val="281F6B"/>
        <w:sz w:val="20"/>
        <w:lang w:val="en-US"/>
      </w:rPr>
      <w:t>www.businessatoecd.org</w:t>
    </w:r>
    <w:r w:rsidR="006A7DE0" w:rsidRPr="005209AB">
      <w:rPr>
        <w:rStyle w:val="Hyperlink"/>
        <w:rFonts w:ascii="Avenir Next LT Pro" w:hAnsi="Avenir Next LT Pro"/>
        <w:color w:val="281F6B"/>
        <w:sz w:val="20"/>
        <w:u w:val="none"/>
        <w:lang w:val="en-US"/>
      </w:rPr>
      <w:tab/>
    </w:r>
    <w:r w:rsidR="003D0809" w:rsidRPr="005209AB">
      <w:rPr>
        <w:rStyle w:val="Hyperlink"/>
        <w:rFonts w:ascii="Avenir Next LT Pro" w:hAnsi="Avenir Next LT Pro"/>
        <w:color w:val="281F6B"/>
        <w:sz w:val="20"/>
        <w:u w:val="none"/>
        <w:lang w:val="en-US"/>
      </w:rPr>
      <w:t xml:space="preserve">   </w:t>
    </w:r>
    <w:r w:rsidR="003D0809" w:rsidRPr="005209AB">
      <w:rPr>
        <w:rStyle w:val="Hyperlink"/>
        <w:rFonts w:ascii="Avenir Next LT Pro" w:hAnsi="Avenir Next LT Pro"/>
        <w:color w:val="281F6B"/>
        <w:sz w:val="6"/>
        <w:szCs w:val="6"/>
        <w:u w:val="none"/>
        <w:lang w:val="en-US"/>
      </w:rPr>
      <w:t xml:space="preserve">     </w:t>
    </w:r>
    <w:r w:rsidR="006A7DE0" w:rsidRPr="005209AB">
      <w:rPr>
        <w:rFonts w:ascii="Avenir Next LT Pro" w:hAnsi="Avenir Next LT Pro"/>
        <w:color w:val="281F6B"/>
        <w:sz w:val="20"/>
        <w:lang w:val="en-US"/>
      </w:rPr>
      <w:t>Tel: +33 (0)1 42 30 09 60</w:t>
    </w:r>
  </w:p>
  <w:p w14:paraId="13A55EB5" w14:textId="031DC7C0" w:rsidR="00C62388" w:rsidRPr="005209AB" w:rsidRDefault="00C62388" w:rsidP="00C62388">
    <w:pPr>
      <w:pStyle w:val="a"/>
      <w:rPr>
        <w:rFonts w:ascii="Avenir Next LT Pro" w:hAnsi="Avenir Next LT Pro"/>
        <w:color w:val="281F6B"/>
        <w:sz w:val="20"/>
        <w:lang w:val="fr-FR"/>
      </w:rPr>
    </w:pPr>
    <w:r w:rsidRPr="005209AB">
      <w:rPr>
        <w:rFonts w:ascii="Avenir Next LT Pro" w:hAnsi="Avenir Next LT Pro"/>
        <w:color w:val="281F6B"/>
        <w:sz w:val="20"/>
        <w:lang w:val="fr-FR"/>
      </w:rPr>
      <w:t>13/15, Chaussée de la M</w:t>
    </w:r>
    <w:r w:rsidR="005209AB">
      <w:rPr>
        <w:rFonts w:ascii="Avenir Next LT Pro" w:hAnsi="Avenir Next LT Pro"/>
        <w:color w:val="281F6B"/>
        <w:sz w:val="20"/>
        <w:lang w:val="fr-FR"/>
      </w:rPr>
      <w:t>uette</w:t>
    </w:r>
    <w:r w:rsidR="005209AB">
      <w:rPr>
        <w:rFonts w:ascii="Avenir Next LT Pro" w:hAnsi="Avenir Next LT Pro"/>
        <w:color w:val="281F6B"/>
        <w:sz w:val="20"/>
        <w:lang w:val="fr-FR"/>
      </w:rPr>
      <w:tab/>
    </w:r>
    <w:r w:rsidR="005209AB">
      <w:rPr>
        <w:rFonts w:ascii="Avenir Next LT Pro" w:hAnsi="Avenir Next LT Pro"/>
        <w:color w:val="281F6B"/>
        <w:sz w:val="20"/>
        <w:lang w:val="fr-FR"/>
      </w:rPr>
      <w:tab/>
    </w:r>
    <w:r w:rsidRPr="005209AB">
      <w:rPr>
        <w:rFonts w:ascii="Avenir Next LT Pro" w:hAnsi="Avenir Next LT Pro"/>
        <w:color w:val="281F6B"/>
        <w:sz w:val="20"/>
        <w:lang w:val="fr-FR"/>
      </w:rPr>
      <w:t>@</w:t>
    </w:r>
    <w:r w:rsidRPr="005209AB">
      <w:rPr>
        <w:rFonts w:ascii="Avenir Next LT Pro" w:hAnsi="Avenir Next LT Pro"/>
        <w:color w:val="281F6B"/>
        <w:sz w:val="20"/>
      </w:rPr>
      <w:t>BusinessatOECD</w:t>
    </w:r>
    <w:r w:rsidR="006A7DE0" w:rsidRPr="005209AB">
      <w:rPr>
        <w:rFonts w:ascii="Avenir Next LT Pro" w:hAnsi="Avenir Next LT Pro"/>
        <w:color w:val="281F6B"/>
        <w:sz w:val="20"/>
        <w:lang w:val="fr-FR"/>
      </w:rPr>
      <w:tab/>
    </w:r>
    <w:r w:rsidR="005209AB" w:rsidRPr="005209AB">
      <w:rPr>
        <w:rFonts w:ascii="Avenir Next LT Pro" w:hAnsi="Avenir Next LT Pro"/>
        <w:color w:val="281F6B"/>
        <w:sz w:val="20"/>
        <w:lang w:val="fr-FR"/>
      </w:rPr>
      <w:tab/>
      <w:t xml:space="preserve"> </w:t>
    </w:r>
    <w:r w:rsidR="004F76A6">
      <w:rPr>
        <w:rFonts w:ascii="Avenir Next LT Pro" w:hAnsi="Avenir Next LT Pro"/>
        <w:color w:val="281F6B"/>
        <w:sz w:val="20"/>
        <w:lang w:val="fr-FR"/>
      </w:rPr>
      <w:t xml:space="preserve"> </w:t>
    </w:r>
    <w:r w:rsidR="005209AB">
      <w:rPr>
        <w:rFonts w:ascii="Avenir Next LT Pro" w:hAnsi="Avenir Next LT Pro"/>
        <w:color w:val="281F6B"/>
        <w:sz w:val="20"/>
        <w:lang w:val="fr-FR"/>
      </w:rPr>
      <w:t>communications@biac.org</w:t>
    </w:r>
  </w:p>
  <w:p w14:paraId="09B513C5" w14:textId="0B23FDD5" w:rsidR="00C62388" w:rsidRPr="00CD1569" w:rsidRDefault="00C62388" w:rsidP="006A7DE0">
    <w:pPr>
      <w:pStyle w:val="a"/>
      <w:rPr>
        <w:rFonts w:ascii="Avenir Next LT Pro" w:hAnsi="Avenir Next LT Pro"/>
        <w:color w:val="281F6B"/>
        <w:sz w:val="20"/>
        <w:lang w:val="en-GB"/>
      </w:rPr>
    </w:pPr>
    <w:r w:rsidRPr="005209AB">
      <w:rPr>
        <w:rFonts w:ascii="Avenir Next LT Pro" w:hAnsi="Avenir Next LT Pro"/>
        <w:color w:val="281F6B"/>
        <w:sz w:val="20"/>
        <w:lang w:val="en-US"/>
      </w:rPr>
      <w:t>75016 Paris, France</w:t>
    </w:r>
    <w:r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5209AB">
      <w:rPr>
        <w:rFonts w:ascii="Avenir Next LT Pro" w:hAnsi="Avenir Next LT Pro"/>
        <w:color w:val="281F6B"/>
        <w:sz w:val="20"/>
        <w:lang w:val="en-US"/>
      </w:rPr>
      <w:tab/>
    </w:r>
    <w:r w:rsidR="006A7DE0" w:rsidRPr="00CD1569">
      <w:rPr>
        <w:rFonts w:ascii="Avenir Next LT Pro" w:hAnsi="Avenir Next LT Pro"/>
        <w:color w:val="281F6B"/>
        <w:sz w:val="20"/>
      </w:rPr>
      <w:t>Business at OECD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329CD" w14:textId="77777777" w:rsidR="00B50CE6" w:rsidRDefault="00B50CE6" w:rsidP="00C35E5D">
      <w:pPr>
        <w:spacing w:after="0" w:line="240" w:lineRule="auto"/>
      </w:pPr>
      <w:r>
        <w:separator/>
      </w:r>
    </w:p>
  </w:footnote>
  <w:footnote w:type="continuationSeparator" w:id="0">
    <w:p w14:paraId="45F22179" w14:textId="77777777" w:rsidR="00B50CE6" w:rsidRDefault="00B50CE6" w:rsidP="00C35E5D">
      <w:pPr>
        <w:spacing w:after="0" w:line="240" w:lineRule="auto"/>
      </w:pPr>
      <w:r>
        <w:continuationSeparator/>
      </w:r>
    </w:p>
  </w:footnote>
  <w:footnote w:type="continuationNotice" w:id="1">
    <w:p w14:paraId="5CCE08C5" w14:textId="77777777" w:rsidR="00B50CE6" w:rsidRDefault="00B50C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B1D6" w14:textId="77777777" w:rsidR="000C76A9" w:rsidRDefault="000C7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8C49" w14:textId="77777777" w:rsidR="000C76A9" w:rsidRDefault="000C7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E5F" w14:textId="61794F78" w:rsidR="00C35E5D" w:rsidRDefault="00C35E5D">
    <w:pPr>
      <w:pStyle w:val="Header"/>
    </w:pPr>
    <w:r>
      <w:rPr>
        <w:noProof/>
      </w:rPr>
      <w:drawing>
        <wp:anchor distT="0" distB="0" distL="114300" distR="114300" simplePos="0" relativeHeight="251658240" behindDoc="1" locked="0" layoutInCell="1" allowOverlap="1" wp14:anchorId="05EAA91B" wp14:editId="61C0E3D9">
          <wp:simplePos x="0" y="0"/>
          <wp:positionH relativeFrom="column">
            <wp:posOffset>-189865</wp:posOffset>
          </wp:positionH>
          <wp:positionV relativeFrom="paragraph">
            <wp:posOffset>-30793</wp:posOffset>
          </wp:positionV>
          <wp:extent cx="6245225" cy="1033145"/>
          <wp:effectExtent l="0" t="0" r="0" b="0"/>
          <wp:wrapSquare wrapText="bothSides"/>
          <wp:docPr id="1208818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522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94A"/>
    <w:multiLevelType w:val="hybridMultilevel"/>
    <w:tmpl w:val="0518D200"/>
    <w:lvl w:ilvl="0" w:tplc="5882D28C">
      <w:numFmt w:val="bullet"/>
      <w:lvlText w:val="-"/>
      <w:lvlJc w:val="left"/>
      <w:pPr>
        <w:ind w:left="720" w:hanging="360"/>
      </w:pPr>
      <w:rPr>
        <w:rFonts w:ascii="Avenir Next LT Pro" w:eastAsiaTheme="minorHAnsi" w:hAnsi="Avenir Next LT Pro"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9128FC"/>
    <w:multiLevelType w:val="hybridMultilevel"/>
    <w:tmpl w:val="FEA0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96736"/>
    <w:multiLevelType w:val="hybridMultilevel"/>
    <w:tmpl w:val="A87C36E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 w15:restartNumberingAfterBreak="0">
    <w:nsid w:val="3A0D31ED"/>
    <w:multiLevelType w:val="hybridMultilevel"/>
    <w:tmpl w:val="0E60B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1F042F"/>
    <w:multiLevelType w:val="hybridMultilevel"/>
    <w:tmpl w:val="47725194"/>
    <w:lvl w:ilvl="0" w:tplc="55D40AF2">
      <w:start w:val="2"/>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1974E5"/>
    <w:multiLevelType w:val="hybridMultilevel"/>
    <w:tmpl w:val="895E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C211C"/>
    <w:multiLevelType w:val="hybridMultilevel"/>
    <w:tmpl w:val="000AD5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F3C3A54"/>
    <w:multiLevelType w:val="hybridMultilevel"/>
    <w:tmpl w:val="3D5EBFD6"/>
    <w:lvl w:ilvl="0" w:tplc="74E60D14">
      <w:start w:val="9"/>
      <w:numFmt w:val="bullet"/>
      <w:lvlText w:val=""/>
      <w:lvlJc w:val="left"/>
      <w:pPr>
        <w:ind w:left="1440" w:hanging="360"/>
      </w:pPr>
      <w:rPr>
        <w:rFonts w:ascii="Wingdings" w:eastAsia="Meiryo U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5826942">
    <w:abstractNumId w:val="1"/>
  </w:num>
  <w:num w:numId="2" w16cid:durableId="1860049205">
    <w:abstractNumId w:val="5"/>
  </w:num>
  <w:num w:numId="3" w16cid:durableId="1255431548">
    <w:abstractNumId w:val="4"/>
  </w:num>
  <w:num w:numId="4" w16cid:durableId="583681379">
    <w:abstractNumId w:val="3"/>
  </w:num>
  <w:num w:numId="5" w16cid:durableId="1573809773">
    <w:abstractNumId w:val="0"/>
  </w:num>
  <w:num w:numId="6" w16cid:durableId="1496871527">
    <w:abstractNumId w:val="2"/>
  </w:num>
  <w:num w:numId="7" w16cid:durableId="1790584318">
    <w:abstractNumId w:val="6"/>
  </w:num>
  <w:num w:numId="8" w16cid:durableId="831456754">
    <w:abstractNumId w:val="7"/>
  </w:num>
  <w:num w:numId="9" w16cid:durableId="646513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ECDDocumentId" w:val="5DA32C9C7341E3E580928470AD9A11B880EB06F9710407EF8C3CD84775065E0F"/>
  </w:docVars>
  <w:rsids>
    <w:rsidRoot w:val="007A6A87"/>
    <w:rsid w:val="000126F8"/>
    <w:rsid w:val="00024351"/>
    <w:rsid w:val="00031809"/>
    <w:rsid w:val="0007754B"/>
    <w:rsid w:val="000807F1"/>
    <w:rsid w:val="0009125D"/>
    <w:rsid w:val="000B05C8"/>
    <w:rsid w:val="000B1392"/>
    <w:rsid w:val="000B1B67"/>
    <w:rsid w:val="000C76A9"/>
    <w:rsid w:val="000D2A76"/>
    <w:rsid w:val="000D2EB6"/>
    <w:rsid w:val="000D5BDA"/>
    <w:rsid w:val="000E191E"/>
    <w:rsid w:val="000E638C"/>
    <w:rsid w:val="000E7CEC"/>
    <w:rsid w:val="000F0D8F"/>
    <w:rsid w:val="000F65CE"/>
    <w:rsid w:val="000F66AC"/>
    <w:rsid w:val="000F6BAC"/>
    <w:rsid w:val="001133C6"/>
    <w:rsid w:val="00113893"/>
    <w:rsid w:val="00115972"/>
    <w:rsid w:val="00126793"/>
    <w:rsid w:val="0013278F"/>
    <w:rsid w:val="00153073"/>
    <w:rsid w:val="0017281F"/>
    <w:rsid w:val="00172E9C"/>
    <w:rsid w:val="00175638"/>
    <w:rsid w:val="0017694F"/>
    <w:rsid w:val="00185B83"/>
    <w:rsid w:val="00196456"/>
    <w:rsid w:val="001B1482"/>
    <w:rsid w:val="001C5AF6"/>
    <w:rsid w:val="001D3E90"/>
    <w:rsid w:val="001D489C"/>
    <w:rsid w:val="001D6E14"/>
    <w:rsid w:val="001F71F5"/>
    <w:rsid w:val="002002F5"/>
    <w:rsid w:val="0021048A"/>
    <w:rsid w:val="002504C2"/>
    <w:rsid w:val="00272D93"/>
    <w:rsid w:val="002733C8"/>
    <w:rsid w:val="002946D9"/>
    <w:rsid w:val="00295943"/>
    <w:rsid w:val="002A60EB"/>
    <w:rsid w:val="002B20C1"/>
    <w:rsid w:val="002C36CC"/>
    <w:rsid w:val="002C5524"/>
    <w:rsid w:val="002D2B5D"/>
    <w:rsid w:val="002D50C7"/>
    <w:rsid w:val="002E4A79"/>
    <w:rsid w:val="002E5A11"/>
    <w:rsid w:val="002E7F46"/>
    <w:rsid w:val="002F72DD"/>
    <w:rsid w:val="003153AE"/>
    <w:rsid w:val="00355CF9"/>
    <w:rsid w:val="0037226A"/>
    <w:rsid w:val="00384F32"/>
    <w:rsid w:val="00393490"/>
    <w:rsid w:val="00394796"/>
    <w:rsid w:val="003A1353"/>
    <w:rsid w:val="003A1557"/>
    <w:rsid w:val="003A602F"/>
    <w:rsid w:val="003B2BB1"/>
    <w:rsid w:val="003D0809"/>
    <w:rsid w:val="003F1EE8"/>
    <w:rsid w:val="00413450"/>
    <w:rsid w:val="004213D1"/>
    <w:rsid w:val="00435CFE"/>
    <w:rsid w:val="00436CB8"/>
    <w:rsid w:val="00442B6F"/>
    <w:rsid w:val="0044644E"/>
    <w:rsid w:val="00476236"/>
    <w:rsid w:val="00484653"/>
    <w:rsid w:val="004907E0"/>
    <w:rsid w:val="004D2ADC"/>
    <w:rsid w:val="004E0C3C"/>
    <w:rsid w:val="004E5D07"/>
    <w:rsid w:val="004E6742"/>
    <w:rsid w:val="004F76A6"/>
    <w:rsid w:val="0052031F"/>
    <w:rsid w:val="005209AB"/>
    <w:rsid w:val="0052184C"/>
    <w:rsid w:val="00527BB1"/>
    <w:rsid w:val="00536455"/>
    <w:rsid w:val="00560267"/>
    <w:rsid w:val="00572493"/>
    <w:rsid w:val="005741D9"/>
    <w:rsid w:val="00576EE5"/>
    <w:rsid w:val="00580F1B"/>
    <w:rsid w:val="005829A5"/>
    <w:rsid w:val="00596CE3"/>
    <w:rsid w:val="00597D2D"/>
    <w:rsid w:val="005A317F"/>
    <w:rsid w:val="005D06BB"/>
    <w:rsid w:val="005D5B98"/>
    <w:rsid w:val="005F0EE1"/>
    <w:rsid w:val="005F4150"/>
    <w:rsid w:val="00600014"/>
    <w:rsid w:val="0061672A"/>
    <w:rsid w:val="00625AE0"/>
    <w:rsid w:val="00635B4E"/>
    <w:rsid w:val="00636B75"/>
    <w:rsid w:val="0064780B"/>
    <w:rsid w:val="00680B78"/>
    <w:rsid w:val="006A1F1C"/>
    <w:rsid w:val="006A7DE0"/>
    <w:rsid w:val="006B6DC5"/>
    <w:rsid w:val="006C108D"/>
    <w:rsid w:val="006C37EA"/>
    <w:rsid w:val="006D1FA3"/>
    <w:rsid w:val="006D76FD"/>
    <w:rsid w:val="006D7766"/>
    <w:rsid w:val="006F1006"/>
    <w:rsid w:val="00701278"/>
    <w:rsid w:val="0070240F"/>
    <w:rsid w:val="007171D3"/>
    <w:rsid w:val="00721011"/>
    <w:rsid w:val="007226D8"/>
    <w:rsid w:val="00723D53"/>
    <w:rsid w:val="00731F89"/>
    <w:rsid w:val="0074222F"/>
    <w:rsid w:val="00751C94"/>
    <w:rsid w:val="00772EB9"/>
    <w:rsid w:val="007838D5"/>
    <w:rsid w:val="0078401F"/>
    <w:rsid w:val="007A44AA"/>
    <w:rsid w:val="007A6A87"/>
    <w:rsid w:val="007C062A"/>
    <w:rsid w:val="007C710D"/>
    <w:rsid w:val="007F0AE6"/>
    <w:rsid w:val="007F14F3"/>
    <w:rsid w:val="007F1551"/>
    <w:rsid w:val="00805812"/>
    <w:rsid w:val="008153D9"/>
    <w:rsid w:val="008356C0"/>
    <w:rsid w:val="008469FA"/>
    <w:rsid w:val="00867BFF"/>
    <w:rsid w:val="00884DEA"/>
    <w:rsid w:val="00891076"/>
    <w:rsid w:val="008B46A1"/>
    <w:rsid w:val="008C0309"/>
    <w:rsid w:val="008C4197"/>
    <w:rsid w:val="008D5FC4"/>
    <w:rsid w:val="008D67FD"/>
    <w:rsid w:val="008F53E0"/>
    <w:rsid w:val="00901F57"/>
    <w:rsid w:val="00925CC0"/>
    <w:rsid w:val="009311E9"/>
    <w:rsid w:val="00941086"/>
    <w:rsid w:val="00976A15"/>
    <w:rsid w:val="00976EBA"/>
    <w:rsid w:val="0098534A"/>
    <w:rsid w:val="00995C84"/>
    <w:rsid w:val="00997C55"/>
    <w:rsid w:val="009C2390"/>
    <w:rsid w:val="009E2A70"/>
    <w:rsid w:val="00A011B1"/>
    <w:rsid w:val="00A04D6F"/>
    <w:rsid w:val="00A057A2"/>
    <w:rsid w:val="00A314C9"/>
    <w:rsid w:val="00A40073"/>
    <w:rsid w:val="00A42C88"/>
    <w:rsid w:val="00A45242"/>
    <w:rsid w:val="00A64BBC"/>
    <w:rsid w:val="00A7257D"/>
    <w:rsid w:val="00A801C9"/>
    <w:rsid w:val="00AB1975"/>
    <w:rsid w:val="00AC6DF7"/>
    <w:rsid w:val="00AD3FF5"/>
    <w:rsid w:val="00AD595C"/>
    <w:rsid w:val="00AD6880"/>
    <w:rsid w:val="00AE3FF0"/>
    <w:rsid w:val="00AF4C95"/>
    <w:rsid w:val="00B15F50"/>
    <w:rsid w:val="00B2771C"/>
    <w:rsid w:val="00B33102"/>
    <w:rsid w:val="00B3347C"/>
    <w:rsid w:val="00B35E39"/>
    <w:rsid w:val="00B47180"/>
    <w:rsid w:val="00B50904"/>
    <w:rsid w:val="00B50CE6"/>
    <w:rsid w:val="00B5326E"/>
    <w:rsid w:val="00B5515E"/>
    <w:rsid w:val="00B73CCA"/>
    <w:rsid w:val="00B74507"/>
    <w:rsid w:val="00B80983"/>
    <w:rsid w:val="00BB277C"/>
    <w:rsid w:val="00BB2C50"/>
    <w:rsid w:val="00BC1616"/>
    <w:rsid w:val="00BD060C"/>
    <w:rsid w:val="00BE7A98"/>
    <w:rsid w:val="00C03968"/>
    <w:rsid w:val="00C27997"/>
    <w:rsid w:val="00C35E5D"/>
    <w:rsid w:val="00C36575"/>
    <w:rsid w:val="00C51C48"/>
    <w:rsid w:val="00C53766"/>
    <w:rsid w:val="00C60A45"/>
    <w:rsid w:val="00C62388"/>
    <w:rsid w:val="00C65BEE"/>
    <w:rsid w:val="00C77452"/>
    <w:rsid w:val="00CA4035"/>
    <w:rsid w:val="00CA5942"/>
    <w:rsid w:val="00CC148D"/>
    <w:rsid w:val="00CD1569"/>
    <w:rsid w:val="00CE0516"/>
    <w:rsid w:val="00CF5E7B"/>
    <w:rsid w:val="00D02592"/>
    <w:rsid w:val="00D064BB"/>
    <w:rsid w:val="00D10207"/>
    <w:rsid w:val="00D1337E"/>
    <w:rsid w:val="00D16080"/>
    <w:rsid w:val="00D16E29"/>
    <w:rsid w:val="00D43C87"/>
    <w:rsid w:val="00D4524C"/>
    <w:rsid w:val="00D57230"/>
    <w:rsid w:val="00D62C0F"/>
    <w:rsid w:val="00D7286F"/>
    <w:rsid w:val="00D82E96"/>
    <w:rsid w:val="00D86667"/>
    <w:rsid w:val="00DA409A"/>
    <w:rsid w:val="00DC1E4F"/>
    <w:rsid w:val="00DC6A85"/>
    <w:rsid w:val="00DE6304"/>
    <w:rsid w:val="00DF2786"/>
    <w:rsid w:val="00E03F99"/>
    <w:rsid w:val="00E04BBB"/>
    <w:rsid w:val="00E05B3A"/>
    <w:rsid w:val="00E316DF"/>
    <w:rsid w:val="00E40109"/>
    <w:rsid w:val="00E42CC5"/>
    <w:rsid w:val="00E52D24"/>
    <w:rsid w:val="00E96A43"/>
    <w:rsid w:val="00EA1182"/>
    <w:rsid w:val="00EA2CC9"/>
    <w:rsid w:val="00EE705C"/>
    <w:rsid w:val="00F02A6F"/>
    <w:rsid w:val="00F03207"/>
    <w:rsid w:val="00F03DF9"/>
    <w:rsid w:val="00F203E0"/>
    <w:rsid w:val="00F42F3C"/>
    <w:rsid w:val="00F521E0"/>
    <w:rsid w:val="00F52C5C"/>
    <w:rsid w:val="00F568BE"/>
    <w:rsid w:val="00F71A24"/>
    <w:rsid w:val="00F86F83"/>
    <w:rsid w:val="00F91490"/>
    <w:rsid w:val="00F93B21"/>
    <w:rsid w:val="00F978BD"/>
    <w:rsid w:val="00FB3E93"/>
    <w:rsid w:val="00FC6DBD"/>
    <w:rsid w:val="00FD05C6"/>
    <w:rsid w:val="00FE5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91C7"/>
  <w15:chartTrackingRefBased/>
  <w15:docId w15:val="{F5EECFF0-84D1-4684-B84A-9026B471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B1"/>
    <w:pPr>
      <w:jc w:val="both"/>
    </w:pPr>
    <w:rPr>
      <w:rFonts w:ascii="Avenir Next LT Pro" w:hAnsi="Avenir Next LT Pro"/>
      <w:sz w:val="24"/>
    </w:rPr>
  </w:style>
  <w:style w:type="paragraph" w:styleId="Heading1">
    <w:name w:val="heading 1"/>
    <w:basedOn w:val="Normal"/>
    <w:next w:val="Normal"/>
    <w:link w:val="Heading1Char"/>
    <w:uiPriority w:val="9"/>
    <w:qFormat/>
    <w:rsid w:val="00C77452"/>
    <w:pPr>
      <w:keepNext/>
      <w:keepLines/>
      <w:spacing w:before="240" w:after="120"/>
      <w:outlineLvl w:val="0"/>
    </w:pPr>
    <w:rPr>
      <w:rFonts w:eastAsiaTheme="majorEastAsia" w:cstheme="majorBidi"/>
      <w:b/>
      <w:color w:val="281F6B"/>
      <w:sz w:val="20"/>
      <w:szCs w:val="32"/>
    </w:rPr>
  </w:style>
  <w:style w:type="paragraph" w:styleId="Heading2">
    <w:name w:val="heading 2"/>
    <w:basedOn w:val="Normal"/>
    <w:next w:val="Normal"/>
    <w:link w:val="Heading2Char"/>
    <w:uiPriority w:val="9"/>
    <w:unhideWhenUsed/>
    <w:qFormat/>
    <w:rsid w:val="00C77452"/>
    <w:pPr>
      <w:keepNext/>
      <w:keepLines/>
      <w:spacing w:after="240"/>
      <w:outlineLvl w:val="1"/>
    </w:pPr>
    <w:rPr>
      <w:rFonts w:eastAsiaTheme="majorEastAsia" w:cstheme="majorBidi"/>
      <w:color w:val="3256A7"/>
      <w:sz w:val="20"/>
      <w:szCs w:val="26"/>
    </w:rPr>
  </w:style>
  <w:style w:type="paragraph" w:styleId="Heading3">
    <w:name w:val="heading 3"/>
    <w:basedOn w:val="Normal"/>
    <w:next w:val="Normal"/>
    <w:link w:val="Heading3Char"/>
    <w:uiPriority w:val="9"/>
    <w:unhideWhenUsed/>
    <w:qFormat/>
    <w:rsid w:val="001D3E90"/>
    <w:pPr>
      <w:keepNext/>
      <w:keepLines/>
      <w:spacing w:before="240" w:after="240"/>
      <w:outlineLvl w:val="2"/>
    </w:pPr>
    <w:rPr>
      <w:rFonts w:eastAsiaTheme="majorEastAsia" w:cstheme="majorBidi"/>
      <w:i/>
      <w:color w:val="46A5BF"/>
      <w:sz w:val="20"/>
      <w:szCs w:val="24"/>
    </w:rPr>
  </w:style>
  <w:style w:type="paragraph" w:styleId="Heading4">
    <w:name w:val="heading 4"/>
    <w:basedOn w:val="Normal"/>
    <w:next w:val="Normal"/>
    <w:link w:val="Heading4Char"/>
    <w:uiPriority w:val="9"/>
    <w:unhideWhenUsed/>
    <w:qFormat/>
    <w:rsid w:val="00976EBA"/>
    <w:pPr>
      <w:keepNext/>
      <w:keepLines/>
      <w:spacing w:before="240" w:after="240"/>
      <w:outlineLvl w:val="3"/>
    </w:pPr>
    <w:rPr>
      <w:rFonts w:eastAsiaTheme="majorEastAsia" w:cstheme="majorBidi"/>
      <w:i/>
      <w:iCs/>
      <w:color w:val="67C0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52"/>
    <w:rPr>
      <w:rFonts w:ascii="Avenir Next LT Pro" w:eastAsiaTheme="majorEastAsia" w:hAnsi="Avenir Next LT Pro" w:cstheme="majorBidi"/>
      <w:b/>
      <w:color w:val="281F6B"/>
      <w:sz w:val="20"/>
      <w:szCs w:val="32"/>
    </w:rPr>
  </w:style>
  <w:style w:type="character" w:customStyle="1" w:styleId="Heading2Char">
    <w:name w:val="Heading 2 Char"/>
    <w:basedOn w:val="DefaultParagraphFont"/>
    <w:link w:val="Heading2"/>
    <w:uiPriority w:val="9"/>
    <w:rsid w:val="00C77452"/>
    <w:rPr>
      <w:rFonts w:ascii="Avenir Next LT Pro" w:eastAsiaTheme="majorEastAsia" w:hAnsi="Avenir Next LT Pro" w:cstheme="majorBidi"/>
      <w:color w:val="3256A7"/>
      <w:sz w:val="20"/>
      <w:szCs w:val="26"/>
    </w:rPr>
  </w:style>
  <w:style w:type="paragraph" w:styleId="NoSpacing">
    <w:name w:val="No Spacing"/>
    <w:uiPriority w:val="1"/>
    <w:qFormat/>
    <w:rsid w:val="00A057A2"/>
    <w:pPr>
      <w:spacing w:before="240" w:after="240" w:line="240" w:lineRule="auto"/>
      <w:jc w:val="both"/>
    </w:pPr>
    <w:rPr>
      <w:rFonts w:ascii="Avenir Next LT Pro" w:hAnsi="Avenir Next LT Pro"/>
    </w:rPr>
  </w:style>
  <w:style w:type="paragraph" w:styleId="Title">
    <w:name w:val="Title"/>
    <w:basedOn w:val="Normal"/>
    <w:next w:val="Normal"/>
    <w:link w:val="TitleChar"/>
    <w:uiPriority w:val="10"/>
    <w:qFormat/>
    <w:rsid w:val="00D86667"/>
    <w:pPr>
      <w:spacing w:after="240" w:line="240" w:lineRule="auto"/>
      <w:jc w:val="center"/>
    </w:pPr>
    <w:rPr>
      <w:rFonts w:eastAsiaTheme="majorEastAsia" w:cstheme="majorBidi"/>
      <w:b/>
      <w:color w:val="281F6B" w:themeColor="accent2"/>
      <w:kern w:val="28"/>
      <w:sz w:val="22"/>
      <w:szCs w:val="56"/>
    </w:rPr>
  </w:style>
  <w:style w:type="character" w:customStyle="1" w:styleId="TitleChar">
    <w:name w:val="Title Char"/>
    <w:basedOn w:val="DefaultParagraphFont"/>
    <w:link w:val="Title"/>
    <w:uiPriority w:val="10"/>
    <w:rsid w:val="00D86667"/>
    <w:rPr>
      <w:rFonts w:ascii="Avenir Next LT Pro" w:eastAsiaTheme="majorEastAsia" w:hAnsi="Avenir Next LT Pro" w:cstheme="majorBidi"/>
      <w:b/>
      <w:color w:val="281F6B" w:themeColor="accent2"/>
      <w:kern w:val="28"/>
      <w:szCs w:val="56"/>
    </w:rPr>
  </w:style>
  <w:style w:type="paragraph" w:styleId="Subtitle">
    <w:name w:val="Subtitle"/>
    <w:basedOn w:val="Normal"/>
    <w:next w:val="Normal"/>
    <w:link w:val="SubtitleChar"/>
    <w:uiPriority w:val="11"/>
    <w:qFormat/>
    <w:rsid w:val="00DC6A85"/>
    <w:pPr>
      <w:numPr>
        <w:ilvl w:val="1"/>
      </w:numPr>
      <w:spacing w:before="240" w:after="240" w:line="240" w:lineRule="auto"/>
    </w:pPr>
    <w:rPr>
      <w:rFonts w:eastAsiaTheme="minorEastAsia"/>
      <w:color w:val="5A5A5A" w:themeColor="text1" w:themeTint="A5"/>
      <w:sz w:val="20"/>
    </w:rPr>
  </w:style>
  <w:style w:type="character" w:customStyle="1" w:styleId="SubtitleChar">
    <w:name w:val="Subtitle Char"/>
    <w:basedOn w:val="DefaultParagraphFont"/>
    <w:link w:val="Subtitle"/>
    <w:uiPriority w:val="11"/>
    <w:rsid w:val="00DC6A85"/>
    <w:rPr>
      <w:rFonts w:ascii="Avenir Next LT Pro" w:eastAsiaTheme="minorEastAsia" w:hAnsi="Avenir Next LT Pro"/>
      <w:color w:val="5A5A5A" w:themeColor="text1" w:themeTint="A5"/>
      <w:sz w:val="20"/>
    </w:rPr>
  </w:style>
  <w:style w:type="character" w:styleId="SubtleEmphasis">
    <w:name w:val="Subtle Emphasis"/>
    <w:basedOn w:val="DefaultParagraphFont"/>
    <w:uiPriority w:val="19"/>
    <w:qFormat/>
    <w:rsid w:val="007A6A87"/>
    <w:rPr>
      <w:rFonts w:ascii="Avenir Next LT Pro" w:hAnsi="Avenir Next LT Pro"/>
      <w:i/>
      <w:iCs/>
      <w:color w:val="404040" w:themeColor="text1" w:themeTint="BF"/>
    </w:rPr>
  </w:style>
  <w:style w:type="character" w:styleId="Emphasis">
    <w:name w:val="Emphasis"/>
    <w:basedOn w:val="DefaultParagraphFont"/>
    <w:uiPriority w:val="20"/>
    <w:qFormat/>
    <w:rsid w:val="007A6A87"/>
    <w:rPr>
      <w:rFonts w:ascii="Avenir Next LT Pro" w:hAnsi="Avenir Next LT Pro"/>
      <w:i/>
      <w:iCs/>
    </w:rPr>
  </w:style>
  <w:style w:type="character" w:styleId="IntenseEmphasis">
    <w:name w:val="Intense Emphasis"/>
    <w:basedOn w:val="DefaultParagraphFont"/>
    <w:uiPriority w:val="21"/>
    <w:qFormat/>
    <w:rsid w:val="007A6A87"/>
    <w:rPr>
      <w:rFonts w:ascii="Avenir Next LT Pro" w:hAnsi="Avenir Next LT Pro"/>
      <w:i/>
      <w:iCs/>
      <w:color w:val="F9F9F5" w:themeColor="accent1"/>
    </w:rPr>
  </w:style>
  <w:style w:type="character" w:styleId="Strong">
    <w:name w:val="Strong"/>
    <w:basedOn w:val="DefaultParagraphFont"/>
    <w:uiPriority w:val="22"/>
    <w:qFormat/>
    <w:rsid w:val="007A6A87"/>
    <w:rPr>
      <w:rFonts w:ascii="Avenir Next LT Pro" w:hAnsi="Avenir Next LT Pro"/>
      <w:b/>
      <w:bCs/>
    </w:rPr>
  </w:style>
  <w:style w:type="paragraph" w:styleId="Quote">
    <w:name w:val="Quote"/>
    <w:basedOn w:val="Normal"/>
    <w:next w:val="Normal"/>
    <w:link w:val="QuoteChar"/>
    <w:uiPriority w:val="29"/>
    <w:qFormat/>
    <w:rsid w:val="007A6A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6A87"/>
    <w:rPr>
      <w:rFonts w:ascii="Avenir Next LT Pro" w:hAnsi="Avenir Next LT Pro"/>
      <w:i/>
      <w:iCs/>
      <w:color w:val="404040" w:themeColor="text1" w:themeTint="BF"/>
    </w:rPr>
  </w:style>
  <w:style w:type="paragraph" w:styleId="IntenseQuote">
    <w:name w:val="Intense Quote"/>
    <w:basedOn w:val="Normal"/>
    <w:next w:val="Normal"/>
    <w:link w:val="IntenseQuoteChar"/>
    <w:uiPriority w:val="30"/>
    <w:qFormat/>
    <w:rsid w:val="007A6A87"/>
    <w:pPr>
      <w:pBdr>
        <w:top w:val="single" w:sz="4" w:space="10" w:color="F9F9F5" w:themeColor="accent1"/>
        <w:bottom w:val="single" w:sz="4" w:space="10" w:color="F9F9F5" w:themeColor="accent1"/>
      </w:pBdr>
      <w:spacing w:before="360" w:after="360"/>
      <w:ind w:left="864" w:right="864"/>
      <w:jc w:val="center"/>
    </w:pPr>
    <w:rPr>
      <w:i/>
      <w:iCs/>
      <w:color w:val="F9F9F5" w:themeColor="accent1"/>
    </w:rPr>
  </w:style>
  <w:style w:type="character" w:customStyle="1" w:styleId="IntenseQuoteChar">
    <w:name w:val="Intense Quote Char"/>
    <w:basedOn w:val="DefaultParagraphFont"/>
    <w:link w:val="IntenseQuote"/>
    <w:uiPriority w:val="30"/>
    <w:rsid w:val="007A6A87"/>
    <w:rPr>
      <w:rFonts w:ascii="Avenir Next LT Pro" w:hAnsi="Avenir Next LT Pro"/>
      <w:i/>
      <w:iCs/>
      <w:color w:val="F9F9F5" w:themeColor="accent1"/>
    </w:rPr>
  </w:style>
  <w:style w:type="character" w:styleId="SubtleReference">
    <w:name w:val="Subtle Reference"/>
    <w:basedOn w:val="DefaultParagraphFont"/>
    <w:uiPriority w:val="31"/>
    <w:qFormat/>
    <w:rsid w:val="007A6A87"/>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7A6A87"/>
    <w:rPr>
      <w:rFonts w:ascii="Avenir Next LT Pro" w:hAnsi="Avenir Next LT Pro"/>
      <w:b/>
      <w:bCs/>
      <w:smallCaps/>
      <w:color w:val="F9F9F5" w:themeColor="accent1"/>
      <w:spacing w:val="5"/>
    </w:rPr>
  </w:style>
  <w:style w:type="character" w:styleId="BookTitle">
    <w:name w:val="Book Title"/>
    <w:basedOn w:val="DefaultParagraphFont"/>
    <w:uiPriority w:val="33"/>
    <w:qFormat/>
    <w:rsid w:val="007A6A87"/>
    <w:rPr>
      <w:rFonts w:ascii="Avenir Next LT Pro" w:hAnsi="Avenir Next LT Pro"/>
      <w:b/>
      <w:bCs/>
      <w:i/>
      <w:iCs/>
      <w:spacing w:val="5"/>
    </w:rPr>
  </w:style>
  <w:style w:type="paragraph" w:styleId="ListParagraph">
    <w:name w:val="List Paragraph"/>
    <w:aliases w:val="Dot pt,No Spacing1,List Paragraph Char Char Char,Indicator Text,List Paragraph1,Numbered Para 1,Bullet 1,List Paragraph12,Bullet Style,Bullet Points,MAIN CONTENT,OBC Bullet,List Paragraph11,F5 List Paragraph,Colorful List - Accent 11,L"/>
    <w:basedOn w:val="Normal"/>
    <w:link w:val="ListParagraphChar"/>
    <w:uiPriority w:val="34"/>
    <w:qFormat/>
    <w:rsid w:val="007A6A87"/>
    <w:pPr>
      <w:ind w:left="720"/>
      <w:contextualSpacing/>
    </w:pPr>
  </w:style>
  <w:style w:type="character" w:customStyle="1" w:styleId="Heading3Char">
    <w:name w:val="Heading 3 Char"/>
    <w:basedOn w:val="DefaultParagraphFont"/>
    <w:link w:val="Heading3"/>
    <w:uiPriority w:val="9"/>
    <w:rsid w:val="001D3E90"/>
    <w:rPr>
      <w:rFonts w:ascii="Avenir Next LT Pro" w:eastAsiaTheme="majorEastAsia" w:hAnsi="Avenir Next LT Pro" w:cstheme="majorBidi"/>
      <w:i/>
      <w:color w:val="46A5BF"/>
      <w:sz w:val="20"/>
      <w:szCs w:val="24"/>
    </w:rPr>
  </w:style>
  <w:style w:type="character" w:customStyle="1" w:styleId="Heading4Char">
    <w:name w:val="Heading 4 Char"/>
    <w:basedOn w:val="DefaultParagraphFont"/>
    <w:link w:val="Heading4"/>
    <w:uiPriority w:val="9"/>
    <w:rsid w:val="00976EBA"/>
    <w:rPr>
      <w:rFonts w:ascii="Avenir Next LT Pro" w:eastAsiaTheme="majorEastAsia" w:hAnsi="Avenir Next LT Pro" w:cstheme="majorBidi"/>
      <w:i/>
      <w:iCs/>
      <w:color w:val="67C07D"/>
    </w:rPr>
  </w:style>
  <w:style w:type="paragraph" w:styleId="Header">
    <w:name w:val="header"/>
    <w:basedOn w:val="Normal"/>
    <w:link w:val="HeaderChar"/>
    <w:uiPriority w:val="99"/>
    <w:unhideWhenUsed/>
    <w:rsid w:val="00C35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E5D"/>
    <w:rPr>
      <w:rFonts w:ascii="Avenir Next LT Pro" w:hAnsi="Avenir Next LT Pro"/>
    </w:rPr>
  </w:style>
  <w:style w:type="paragraph" w:styleId="Footer">
    <w:name w:val="footer"/>
    <w:basedOn w:val="Normal"/>
    <w:link w:val="FooterChar"/>
    <w:uiPriority w:val="99"/>
    <w:unhideWhenUsed/>
    <w:rsid w:val="00C35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E5D"/>
    <w:rPr>
      <w:rFonts w:ascii="Avenir Next LT Pro" w:hAnsi="Avenir Next LT Pro"/>
    </w:rPr>
  </w:style>
  <w:style w:type="paragraph" w:customStyle="1" w:styleId="a">
    <w:name w:val="Одержувач"/>
    <w:basedOn w:val="Normal"/>
    <w:uiPriority w:val="2"/>
    <w:qFormat/>
    <w:rsid w:val="0098534A"/>
    <w:pPr>
      <w:spacing w:after="0" w:line="264" w:lineRule="auto"/>
      <w:jc w:val="left"/>
    </w:pPr>
    <w:rPr>
      <w:rFonts w:asciiTheme="minorHAnsi" w:hAnsiTheme="minorHAnsi"/>
      <w:color w:val="F9F9F5" w:themeColor="accent1"/>
      <w:kern w:val="0"/>
      <w:sz w:val="18"/>
      <w:szCs w:val="20"/>
      <w:lang w:val="uk-UA" w:eastAsia="uk-UA"/>
    </w:rPr>
  </w:style>
  <w:style w:type="character" w:styleId="Hyperlink">
    <w:name w:val="Hyperlink"/>
    <w:basedOn w:val="DefaultParagraphFont"/>
    <w:uiPriority w:val="99"/>
    <w:unhideWhenUsed/>
    <w:rsid w:val="0098534A"/>
    <w:rPr>
      <w:color w:val="467886" w:themeColor="hyperlink"/>
      <w:u w:val="single"/>
    </w:rPr>
  </w:style>
  <w:style w:type="character" w:styleId="UnresolvedMention">
    <w:name w:val="Unresolved Mention"/>
    <w:basedOn w:val="DefaultParagraphFont"/>
    <w:uiPriority w:val="99"/>
    <w:semiHidden/>
    <w:unhideWhenUsed/>
    <w:rsid w:val="00C62388"/>
    <w:rPr>
      <w:color w:val="605E5C"/>
      <w:shd w:val="clear" w:color="auto" w:fill="E1DFDD"/>
    </w:rPr>
  </w:style>
  <w:style w:type="paragraph" w:styleId="FootnoteText">
    <w:name w:val="footnote text"/>
    <w:basedOn w:val="Normal"/>
    <w:link w:val="FootnoteTextChar"/>
    <w:uiPriority w:val="99"/>
    <w:semiHidden/>
    <w:unhideWhenUsed/>
    <w:rsid w:val="00DF2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86"/>
    <w:rPr>
      <w:rFonts w:ascii="Avenir Next LT Pro" w:hAnsi="Avenir Next LT Pro"/>
      <w:sz w:val="20"/>
      <w:szCs w:val="20"/>
    </w:rPr>
  </w:style>
  <w:style w:type="character" w:styleId="FootnoteReference">
    <w:name w:val="footnote reference"/>
    <w:basedOn w:val="DefaultParagraphFont"/>
    <w:uiPriority w:val="99"/>
    <w:semiHidden/>
    <w:unhideWhenUsed/>
    <w:rsid w:val="00DF2786"/>
    <w:rPr>
      <w:vertAlign w:val="superscript"/>
    </w:rPr>
  </w:style>
  <w:style w:type="character" w:customStyle="1" w:styleId="ListParagraphChar">
    <w:name w:val="List Paragraph Char"/>
    <w:aliases w:val="Dot pt Char,No Spacing1 Char,List Paragraph Char Char Char Char,Indicator Text Char,List Paragraph1 Char,Numbered Para 1 Char,Bullet 1 Char,List Paragraph12 Char,Bullet Style Char,Bullet Points Char,MAIN CONTENT Char,OBC Bullet Char"/>
    <w:link w:val="ListParagraph"/>
    <w:uiPriority w:val="34"/>
    <w:qFormat/>
    <w:locked/>
    <w:rsid w:val="001D3E90"/>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1654">
      <w:bodyDiv w:val="1"/>
      <w:marLeft w:val="0"/>
      <w:marRight w:val="0"/>
      <w:marTop w:val="0"/>
      <w:marBottom w:val="0"/>
      <w:divBdr>
        <w:top w:val="none" w:sz="0" w:space="0" w:color="auto"/>
        <w:left w:val="none" w:sz="0" w:space="0" w:color="auto"/>
        <w:bottom w:val="none" w:sz="0" w:space="0" w:color="auto"/>
        <w:right w:val="none" w:sz="0" w:space="0" w:color="auto"/>
      </w:divBdr>
    </w:div>
    <w:div w:id="51077741">
      <w:bodyDiv w:val="1"/>
      <w:marLeft w:val="0"/>
      <w:marRight w:val="0"/>
      <w:marTop w:val="0"/>
      <w:marBottom w:val="0"/>
      <w:divBdr>
        <w:top w:val="none" w:sz="0" w:space="0" w:color="auto"/>
        <w:left w:val="none" w:sz="0" w:space="0" w:color="auto"/>
        <w:bottom w:val="none" w:sz="0" w:space="0" w:color="auto"/>
        <w:right w:val="none" w:sz="0" w:space="0" w:color="auto"/>
      </w:divBdr>
    </w:div>
    <w:div w:id="97875567">
      <w:bodyDiv w:val="1"/>
      <w:marLeft w:val="0"/>
      <w:marRight w:val="0"/>
      <w:marTop w:val="0"/>
      <w:marBottom w:val="0"/>
      <w:divBdr>
        <w:top w:val="none" w:sz="0" w:space="0" w:color="auto"/>
        <w:left w:val="none" w:sz="0" w:space="0" w:color="auto"/>
        <w:bottom w:val="none" w:sz="0" w:space="0" w:color="auto"/>
        <w:right w:val="none" w:sz="0" w:space="0" w:color="auto"/>
      </w:divBdr>
      <w:divsChild>
        <w:div w:id="161429341">
          <w:marLeft w:val="0"/>
          <w:marRight w:val="0"/>
          <w:marTop w:val="0"/>
          <w:marBottom w:val="0"/>
          <w:divBdr>
            <w:top w:val="none" w:sz="0" w:space="0" w:color="auto"/>
            <w:left w:val="none" w:sz="0" w:space="0" w:color="auto"/>
            <w:bottom w:val="none" w:sz="0" w:space="0" w:color="auto"/>
            <w:right w:val="none" w:sz="0" w:space="0" w:color="auto"/>
          </w:divBdr>
        </w:div>
      </w:divsChild>
    </w:div>
    <w:div w:id="255792790">
      <w:bodyDiv w:val="1"/>
      <w:marLeft w:val="0"/>
      <w:marRight w:val="0"/>
      <w:marTop w:val="0"/>
      <w:marBottom w:val="0"/>
      <w:divBdr>
        <w:top w:val="none" w:sz="0" w:space="0" w:color="auto"/>
        <w:left w:val="none" w:sz="0" w:space="0" w:color="auto"/>
        <w:bottom w:val="none" w:sz="0" w:space="0" w:color="auto"/>
        <w:right w:val="none" w:sz="0" w:space="0" w:color="auto"/>
      </w:divBdr>
      <w:divsChild>
        <w:div w:id="756636488">
          <w:marLeft w:val="0"/>
          <w:marRight w:val="0"/>
          <w:marTop w:val="0"/>
          <w:marBottom w:val="0"/>
          <w:divBdr>
            <w:top w:val="none" w:sz="0" w:space="0" w:color="auto"/>
            <w:left w:val="none" w:sz="0" w:space="0" w:color="auto"/>
            <w:bottom w:val="none" w:sz="0" w:space="0" w:color="auto"/>
            <w:right w:val="none" w:sz="0" w:space="0" w:color="auto"/>
          </w:divBdr>
        </w:div>
      </w:divsChild>
    </w:div>
    <w:div w:id="344676350">
      <w:bodyDiv w:val="1"/>
      <w:marLeft w:val="0"/>
      <w:marRight w:val="0"/>
      <w:marTop w:val="0"/>
      <w:marBottom w:val="0"/>
      <w:divBdr>
        <w:top w:val="none" w:sz="0" w:space="0" w:color="auto"/>
        <w:left w:val="none" w:sz="0" w:space="0" w:color="auto"/>
        <w:bottom w:val="none" w:sz="0" w:space="0" w:color="auto"/>
        <w:right w:val="none" w:sz="0" w:space="0" w:color="auto"/>
      </w:divBdr>
      <w:divsChild>
        <w:div w:id="1552496674">
          <w:marLeft w:val="0"/>
          <w:marRight w:val="0"/>
          <w:marTop w:val="0"/>
          <w:marBottom w:val="0"/>
          <w:divBdr>
            <w:top w:val="none" w:sz="0" w:space="0" w:color="auto"/>
            <w:left w:val="none" w:sz="0" w:space="0" w:color="auto"/>
            <w:bottom w:val="none" w:sz="0" w:space="0" w:color="auto"/>
            <w:right w:val="none" w:sz="0" w:space="0" w:color="auto"/>
          </w:divBdr>
        </w:div>
      </w:divsChild>
    </w:div>
    <w:div w:id="427425976">
      <w:bodyDiv w:val="1"/>
      <w:marLeft w:val="0"/>
      <w:marRight w:val="0"/>
      <w:marTop w:val="0"/>
      <w:marBottom w:val="0"/>
      <w:divBdr>
        <w:top w:val="none" w:sz="0" w:space="0" w:color="auto"/>
        <w:left w:val="none" w:sz="0" w:space="0" w:color="auto"/>
        <w:bottom w:val="none" w:sz="0" w:space="0" w:color="auto"/>
        <w:right w:val="none" w:sz="0" w:space="0" w:color="auto"/>
      </w:divBdr>
    </w:div>
    <w:div w:id="735783001">
      <w:bodyDiv w:val="1"/>
      <w:marLeft w:val="0"/>
      <w:marRight w:val="0"/>
      <w:marTop w:val="0"/>
      <w:marBottom w:val="0"/>
      <w:divBdr>
        <w:top w:val="none" w:sz="0" w:space="0" w:color="auto"/>
        <w:left w:val="none" w:sz="0" w:space="0" w:color="auto"/>
        <w:bottom w:val="none" w:sz="0" w:space="0" w:color="auto"/>
        <w:right w:val="none" w:sz="0" w:space="0" w:color="auto"/>
      </w:divBdr>
      <w:divsChild>
        <w:div w:id="1196234294">
          <w:marLeft w:val="0"/>
          <w:marRight w:val="0"/>
          <w:marTop w:val="0"/>
          <w:marBottom w:val="0"/>
          <w:divBdr>
            <w:top w:val="none" w:sz="0" w:space="0" w:color="auto"/>
            <w:left w:val="none" w:sz="0" w:space="0" w:color="auto"/>
            <w:bottom w:val="none" w:sz="0" w:space="0" w:color="auto"/>
            <w:right w:val="none" w:sz="0" w:space="0" w:color="auto"/>
          </w:divBdr>
        </w:div>
      </w:divsChild>
    </w:div>
    <w:div w:id="914779741">
      <w:bodyDiv w:val="1"/>
      <w:marLeft w:val="0"/>
      <w:marRight w:val="0"/>
      <w:marTop w:val="0"/>
      <w:marBottom w:val="0"/>
      <w:divBdr>
        <w:top w:val="none" w:sz="0" w:space="0" w:color="auto"/>
        <w:left w:val="none" w:sz="0" w:space="0" w:color="auto"/>
        <w:bottom w:val="none" w:sz="0" w:space="0" w:color="auto"/>
        <w:right w:val="none" w:sz="0" w:space="0" w:color="auto"/>
      </w:divBdr>
      <w:divsChild>
        <w:div w:id="2102288942">
          <w:marLeft w:val="0"/>
          <w:marRight w:val="0"/>
          <w:marTop w:val="0"/>
          <w:marBottom w:val="0"/>
          <w:divBdr>
            <w:top w:val="none" w:sz="0" w:space="0" w:color="auto"/>
            <w:left w:val="none" w:sz="0" w:space="0" w:color="auto"/>
            <w:bottom w:val="none" w:sz="0" w:space="0" w:color="auto"/>
            <w:right w:val="none" w:sz="0" w:space="0" w:color="auto"/>
          </w:divBdr>
        </w:div>
      </w:divsChild>
    </w:div>
    <w:div w:id="1042175363">
      <w:bodyDiv w:val="1"/>
      <w:marLeft w:val="0"/>
      <w:marRight w:val="0"/>
      <w:marTop w:val="0"/>
      <w:marBottom w:val="0"/>
      <w:divBdr>
        <w:top w:val="none" w:sz="0" w:space="0" w:color="auto"/>
        <w:left w:val="none" w:sz="0" w:space="0" w:color="auto"/>
        <w:bottom w:val="none" w:sz="0" w:space="0" w:color="auto"/>
        <w:right w:val="none" w:sz="0" w:space="0" w:color="auto"/>
      </w:divBdr>
      <w:divsChild>
        <w:div w:id="1410225453">
          <w:marLeft w:val="0"/>
          <w:marRight w:val="0"/>
          <w:marTop w:val="0"/>
          <w:marBottom w:val="0"/>
          <w:divBdr>
            <w:top w:val="none" w:sz="0" w:space="0" w:color="auto"/>
            <w:left w:val="none" w:sz="0" w:space="0" w:color="auto"/>
            <w:bottom w:val="none" w:sz="0" w:space="0" w:color="auto"/>
            <w:right w:val="none" w:sz="0" w:space="0" w:color="auto"/>
          </w:divBdr>
        </w:div>
      </w:divsChild>
    </w:div>
    <w:div w:id="1311904567">
      <w:bodyDiv w:val="1"/>
      <w:marLeft w:val="0"/>
      <w:marRight w:val="0"/>
      <w:marTop w:val="0"/>
      <w:marBottom w:val="0"/>
      <w:divBdr>
        <w:top w:val="none" w:sz="0" w:space="0" w:color="auto"/>
        <w:left w:val="none" w:sz="0" w:space="0" w:color="auto"/>
        <w:bottom w:val="none" w:sz="0" w:space="0" w:color="auto"/>
        <w:right w:val="none" w:sz="0" w:space="0" w:color="auto"/>
      </w:divBdr>
    </w:div>
    <w:div w:id="2083985979">
      <w:bodyDiv w:val="1"/>
      <w:marLeft w:val="0"/>
      <w:marRight w:val="0"/>
      <w:marTop w:val="0"/>
      <w:marBottom w:val="0"/>
      <w:divBdr>
        <w:top w:val="none" w:sz="0" w:space="0" w:color="auto"/>
        <w:left w:val="none" w:sz="0" w:space="0" w:color="auto"/>
        <w:bottom w:val="none" w:sz="0" w:space="0" w:color="auto"/>
        <w:right w:val="none" w:sz="0" w:space="0" w:color="auto"/>
      </w:divBdr>
      <w:divsChild>
        <w:div w:id="1679306702">
          <w:marLeft w:val="0"/>
          <w:marRight w:val="0"/>
          <w:marTop w:val="0"/>
          <w:marBottom w:val="0"/>
          <w:divBdr>
            <w:top w:val="none" w:sz="0" w:space="0" w:color="auto"/>
            <w:left w:val="none" w:sz="0" w:space="0" w:color="auto"/>
            <w:bottom w:val="none" w:sz="0" w:space="0" w:color="auto"/>
            <w:right w:val="none" w:sz="0" w:space="0" w:color="auto"/>
          </w:divBdr>
        </w:div>
      </w:divsChild>
    </w:div>
    <w:div w:id="2125073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sinessatoecd.org/hubfs/Empowering%20SMEs:%20Securing%20Competitiveness%20for%20our%20Economies.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at OECD (BIAC)">
      <a:dk1>
        <a:sysClr val="windowText" lastClr="000000"/>
      </a:dk1>
      <a:lt1>
        <a:sysClr val="window" lastClr="FFFFFF"/>
      </a:lt1>
      <a:dk2>
        <a:srgbClr val="0E2841"/>
      </a:dk2>
      <a:lt2>
        <a:srgbClr val="E8E8E8"/>
      </a:lt2>
      <a:accent1>
        <a:srgbClr val="F9F9F5"/>
      </a:accent1>
      <a:accent2>
        <a:srgbClr val="281F6B"/>
      </a:accent2>
      <a:accent3>
        <a:srgbClr val="3256A7"/>
      </a:accent3>
      <a:accent4>
        <a:srgbClr val="46A5BF"/>
      </a:accent4>
      <a:accent5>
        <a:srgbClr val="67C07D"/>
      </a:accent5>
      <a:accent6>
        <a:srgbClr val="9BCF7E"/>
      </a:accent6>
      <a:hlink>
        <a:srgbClr val="467886"/>
      </a:hlink>
      <a:folHlink>
        <a:srgbClr val="96607D"/>
      </a:folHlink>
    </a:clrScheme>
    <a:fontScheme name="Business at OECD (BIA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e92df0-3fbf-48e7-8cb6-5126b316d47e" xsi:nil="true"/>
    <Tag xmlns="ff23f61c-bc2f-4a60-9637-5b38918169bd" xsi:nil="true"/>
    <lcf76f155ced4ddcb4097134ff3c332f xmlns="ff23f61c-bc2f-4a60-9637-5b38918169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47865A2B88CC4F8CBDEEF038B7D18E" ma:contentTypeVersion="18" ma:contentTypeDescription="Create a new document." ma:contentTypeScope="" ma:versionID="2d474e750f96d7d375c2fbcc764bdf69">
  <xsd:schema xmlns:xsd="http://www.w3.org/2001/XMLSchema" xmlns:xs="http://www.w3.org/2001/XMLSchema" xmlns:p="http://schemas.microsoft.com/office/2006/metadata/properties" xmlns:ns2="ff23f61c-bc2f-4a60-9637-5b38918169bd" xmlns:ns3="55e92df0-3fbf-48e7-8cb6-5126b316d47e" targetNamespace="http://schemas.microsoft.com/office/2006/metadata/properties" ma:root="true" ma:fieldsID="e2e73cea306e813f580acc26725d35f1" ns2:_="" ns3:_="">
    <xsd:import namespace="ff23f61c-bc2f-4a60-9637-5b38918169bd"/>
    <xsd:import namespace="55e92df0-3fbf-48e7-8cb6-5126b316d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Ta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f61c-bc2f-4a60-9637-5b389181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 ma:index="12" nillable="true" ma:displayName="Tags"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Special project"/>
                        <xsd:enumeration value="Final policy paper"/>
                        <xsd:enumeration value="Expert group"/>
                        <xsd:enumeration value="Committee"/>
                        <xsd:enumeration value="Working party"/>
                        <xsd:enumeration value="Communication"/>
                        <xsd:enumeration value="Interventions"/>
                        <xsd:enumeration value="Comments"/>
                        <xsd:enumeration value="Template"/>
                      </xsd:restriction>
                    </xsd:simpleType>
                  </xsd:union>
                </xsd:simple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2df0-3fbf-48e7-8cb6-5126b316d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fa0c65-b102-4bd0-8c9b-8d2ee614e05c}" ma:internalName="TaxCatchAll" ma:showField="CatchAllData" ma:web="55e92df0-3fbf-48e7-8cb6-5126b316d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FE57CA-8FF4-408F-97BF-3F739DD6408D}">
  <ds:schemaRefs>
    <ds:schemaRef ds:uri="http://schemas.microsoft.com/office/2006/metadata/properties"/>
    <ds:schemaRef ds:uri="http://schemas.microsoft.com/office/infopath/2007/PartnerControls"/>
    <ds:schemaRef ds:uri="55e92df0-3fbf-48e7-8cb6-5126b316d47e"/>
    <ds:schemaRef ds:uri="ff23f61c-bc2f-4a60-9637-5b38918169bd"/>
  </ds:schemaRefs>
</ds:datastoreItem>
</file>

<file path=customXml/itemProps2.xml><?xml version="1.0" encoding="utf-8"?>
<ds:datastoreItem xmlns:ds="http://schemas.openxmlformats.org/officeDocument/2006/customXml" ds:itemID="{2C502355-049A-43B6-A4E5-64CE98931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3f61c-bc2f-4a60-9637-5b38918169bd"/>
    <ds:schemaRef ds:uri="55e92df0-3fbf-48e7-8cb6-5126b316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9F5550-9BAD-4D8A-B4D1-DD0BB7713539}">
  <ds:schemaRefs>
    <ds:schemaRef ds:uri="http://schemas.openxmlformats.org/officeDocument/2006/bibliography"/>
  </ds:schemaRefs>
</ds:datastoreItem>
</file>

<file path=customXml/itemProps4.xml><?xml version="1.0" encoding="utf-8"?>
<ds:datastoreItem xmlns:ds="http://schemas.openxmlformats.org/officeDocument/2006/customXml" ds:itemID="{28E4D6AB-AAA6-46A8-8475-81DEE6982C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KUMMERLE Dominik</dc:creator>
  <cp:keywords/>
  <dc:description/>
  <cp:lastModifiedBy>MORKUNAS Rokas, BIAC</cp:lastModifiedBy>
  <cp:revision>2</cp:revision>
  <cp:lastPrinted>2025-08-28T18:43:00Z</cp:lastPrinted>
  <dcterms:created xsi:type="dcterms:W3CDTF">2026-10-26T14:19:00Z</dcterms:created>
  <dcterms:modified xsi:type="dcterms:W3CDTF">2026-10-26T14:19:00Z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0x0101008E47865A2B88CC4F8CBDEEF038B7D18E</vt:lpwstr>
  </property>
  <property fmtid="{D5CDD505-2E9C-101B-9397-08002B2CF9AE}" pid="3" name="MediaServiceImageTags">
    <vt:lpwstr/>
  </property>
  <property fmtid="{D5CDD505-2E9C-101B-9397-08002B2CF9AE}" pid="4" name="ClassificationContentMarkingFooterShapeIds">
    <vt:lpwstr>9a11f7d,29e8342e,7c82fae6</vt:lpwstr>
  </property>
  <property fmtid="{D5CDD505-2E9C-101B-9397-08002B2CF9AE}" pid="5" name="ClassificationContentMarkingFooterFontProps">
    <vt:lpwstr>#0000ff,10,Calibri</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2026-03-24T10:12:19Z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1ee85c98-e3ad-4911-9716-77dd5f8df717</vt:lpwstr>
  </property>
  <property fmtid="{D5CDD505-2E9C-101B-9397-08002B2CF9AE}" pid="13" name="MSIP_Label_0e5510b0-e729-4ef0-a3dd-4ba0dfe56c99_ContentBits">
    <vt:lpwstr>2</vt:lpwstr>
  </property>
  <property fmtid="{D5CDD505-2E9C-101B-9397-08002B2CF9AE}" pid="14" name="MSIP_Label_0e5510b0-e729-4ef0-a3dd-4ba0dfe56c99_Tag">
    <vt:lpwstr>10, 3, 0, 1</vt:lpwstr>
  </property>
  <property fmtid="{D5CDD505-2E9C-101B-9397-08002B2CF9AE}" pid="15" name="OECDDocumentId">
    <vt:lpwstr>5DA32C9C7341E3E580928470AD9A11B880EB06F9710407EF8C3CD84775065E0F</vt:lpwstr>
  </property>
  <property fmtid="{D5CDD505-2E9C-101B-9397-08002B2CF9AE}" pid="16" name="OecdDocumentCoteLangHash">
    <vt:lpwstr/>
  </property>
</Properties>
</file>