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D6225" w14:textId="20EB79EB" w:rsidR="009F1608" w:rsidRPr="00A55597" w:rsidRDefault="00A55597" w:rsidP="009F1608">
      <w:r w:rsidRPr="00A55597">
        <w:rPr>
          <w:rFonts w:ascii="Avenir Next LT Pro" w:eastAsia="Times New Roman" w:hAnsi="Avenir Next LT Pro" w:cs="Times New Roman"/>
          <w:noProof/>
          <w:color w:val="FFFFFF"/>
          <w:sz w:val="20"/>
          <w:lang w:val="en-US"/>
        </w:rPr>
        <w:drawing>
          <wp:inline distT="0" distB="0" distL="0" distR="0" wp14:anchorId="297CC468" wp14:editId="06A8D095">
            <wp:extent cx="5314950" cy="880806"/>
            <wp:effectExtent l="0" t="0" r="0" b="0"/>
            <wp:docPr id="10" name="Graphic 9" descr="A close up of a black background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B699273D-CF73-2837-0D87-D5600CC8B7B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phic 9" descr="A close up of a black background&#10;&#10;AI-generated content may be incorrect.">
                      <a:extLst>
                        <a:ext uri="{FF2B5EF4-FFF2-40B4-BE49-F238E27FC236}">
                          <a16:creationId xmlns:a16="http://schemas.microsoft.com/office/drawing/2014/main" id="{B699273D-CF73-2837-0D87-D5600CC8B7B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9699" cy="88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D0F9F" w14:textId="77777777" w:rsidR="00A82F66" w:rsidRDefault="001646A6" w:rsidP="001646A6">
      <w:pPr>
        <w:tabs>
          <w:tab w:val="left" w:pos="1380"/>
        </w:tabs>
        <w:jc w:val="center"/>
        <w:rPr>
          <w:rFonts w:ascii="Avenir Next LT Pro" w:hAnsi="Avenir Next LT Pro"/>
          <w:b/>
          <w:bCs/>
          <w:sz w:val="24"/>
          <w:szCs w:val="24"/>
          <w:u w:val="single"/>
        </w:rPr>
      </w:pPr>
      <w:r w:rsidRPr="001646A6">
        <w:rPr>
          <w:rFonts w:ascii="Avenir Next LT Pro" w:hAnsi="Avenir Next LT Pro"/>
          <w:b/>
          <w:bCs/>
          <w:sz w:val="24"/>
          <w:szCs w:val="24"/>
          <w:u w:val="single"/>
        </w:rPr>
        <w:t xml:space="preserve">Speaking points </w:t>
      </w:r>
    </w:p>
    <w:p w14:paraId="59ECA243" w14:textId="114C6A0C" w:rsidR="009F1608" w:rsidRPr="001646A6" w:rsidRDefault="009F1608" w:rsidP="001646A6">
      <w:pPr>
        <w:tabs>
          <w:tab w:val="left" w:pos="1380"/>
        </w:tabs>
        <w:jc w:val="center"/>
        <w:rPr>
          <w:rFonts w:ascii="Avenir Next LT Pro" w:hAnsi="Avenir Next LT Pro"/>
          <w:b/>
          <w:bCs/>
          <w:sz w:val="24"/>
          <w:szCs w:val="24"/>
          <w:u w:val="single"/>
        </w:rPr>
      </w:pPr>
      <w:r w:rsidRPr="001646A6">
        <w:rPr>
          <w:rFonts w:ascii="Avenir Next LT Pro" w:hAnsi="Avenir Next LT Pro"/>
          <w:b/>
          <w:bCs/>
          <w:sz w:val="24"/>
          <w:szCs w:val="24"/>
          <w:u w:val="single"/>
        </w:rPr>
        <w:t xml:space="preserve">Investment </w:t>
      </w:r>
      <w:r w:rsidR="001F31EA">
        <w:rPr>
          <w:rFonts w:ascii="Avenir Next LT Pro" w:hAnsi="Avenir Next LT Pro"/>
          <w:b/>
          <w:bCs/>
          <w:sz w:val="24"/>
          <w:szCs w:val="24"/>
          <w:u w:val="single"/>
        </w:rPr>
        <w:t>Committee stakeholder consultation</w:t>
      </w:r>
    </w:p>
    <w:p w14:paraId="76B44A05" w14:textId="77777777" w:rsidR="001646A6" w:rsidRDefault="001646A6" w:rsidP="001646A6">
      <w:pPr>
        <w:tabs>
          <w:tab w:val="left" w:pos="1380"/>
        </w:tabs>
        <w:jc w:val="both"/>
        <w:rPr>
          <w:rFonts w:ascii="Avenir Next LT Pro" w:hAnsi="Avenir Next LT Pro"/>
        </w:rPr>
      </w:pPr>
    </w:p>
    <w:p w14:paraId="2A125CF8" w14:textId="5CE5C28B" w:rsidR="009F1608" w:rsidRDefault="001F31EA" w:rsidP="001646A6">
      <w:pPr>
        <w:tabs>
          <w:tab w:val="left" w:pos="1380"/>
        </w:tabs>
        <w:jc w:val="both"/>
        <w:rPr>
          <w:rFonts w:ascii="Avenir Next LT Pro" w:hAnsi="Avenir Next LT Pro"/>
          <w:i/>
          <w:iCs/>
        </w:rPr>
      </w:pPr>
      <w:r>
        <w:rPr>
          <w:rFonts w:ascii="Avenir Next LT Pro" w:hAnsi="Avenir Next LT Pro"/>
          <w:i/>
          <w:iCs/>
        </w:rPr>
        <w:t xml:space="preserve">Wednesday </w:t>
      </w:r>
      <w:r w:rsidR="000820DE">
        <w:rPr>
          <w:rFonts w:ascii="Avenir Next LT Pro" w:hAnsi="Avenir Next LT Pro"/>
          <w:i/>
          <w:iCs/>
        </w:rPr>
        <w:t>1</w:t>
      </w:r>
      <w:r>
        <w:rPr>
          <w:rFonts w:ascii="Avenir Next LT Pro" w:hAnsi="Avenir Next LT Pro"/>
          <w:i/>
          <w:iCs/>
        </w:rPr>
        <w:t xml:space="preserve"> April</w:t>
      </w:r>
      <w:r w:rsidR="009F1608" w:rsidRPr="001646A6">
        <w:rPr>
          <w:rFonts w:ascii="Avenir Next LT Pro" w:hAnsi="Avenir Next LT Pro"/>
          <w:i/>
          <w:iCs/>
        </w:rPr>
        <w:t xml:space="preserve"> </w:t>
      </w:r>
      <w:r w:rsidR="000820DE">
        <w:rPr>
          <w:rFonts w:ascii="Avenir Next LT Pro" w:hAnsi="Avenir Next LT Pro"/>
          <w:i/>
          <w:iCs/>
        </w:rPr>
        <w:t>11</w:t>
      </w:r>
      <w:r w:rsidR="009F1608" w:rsidRPr="001646A6">
        <w:rPr>
          <w:rFonts w:ascii="Avenir Next LT Pro" w:hAnsi="Avenir Next LT Pro"/>
          <w:i/>
          <w:iCs/>
        </w:rPr>
        <w:t>:</w:t>
      </w:r>
      <w:r>
        <w:rPr>
          <w:rFonts w:ascii="Avenir Next LT Pro" w:hAnsi="Avenir Next LT Pro"/>
          <w:i/>
          <w:iCs/>
        </w:rPr>
        <w:t>3</w:t>
      </w:r>
      <w:r w:rsidR="000820DE">
        <w:rPr>
          <w:rFonts w:ascii="Avenir Next LT Pro" w:hAnsi="Avenir Next LT Pro"/>
          <w:i/>
          <w:iCs/>
        </w:rPr>
        <w:t>5</w:t>
      </w:r>
      <w:r w:rsidR="009F1608" w:rsidRPr="001646A6">
        <w:rPr>
          <w:rFonts w:ascii="Avenir Next LT Pro" w:hAnsi="Avenir Next LT Pro"/>
          <w:i/>
          <w:iCs/>
        </w:rPr>
        <w:t xml:space="preserve"> – 1</w:t>
      </w:r>
      <w:r w:rsidR="000820DE">
        <w:rPr>
          <w:rFonts w:ascii="Avenir Next LT Pro" w:hAnsi="Avenir Next LT Pro"/>
          <w:i/>
          <w:iCs/>
        </w:rPr>
        <w:t>2</w:t>
      </w:r>
      <w:r w:rsidR="009F1608" w:rsidRPr="001646A6">
        <w:rPr>
          <w:rFonts w:ascii="Avenir Next LT Pro" w:hAnsi="Avenir Next LT Pro"/>
          <w:i/>
          <w:iCs/>
        </w:rPr>
        <w:t>:</w:t>
      </w:r>
      <w:r w:rsidR="000820DE">
        <w:rPr>
          <w:rFonts w:ascii="Avenir Next LT Pro" w:hAnsi="Avenir Next LT Pro"/>
          <w:i/>
          <w:iCs/>
        </w:rPr>
        <w:t>3</w:t>
      </w:r>
      <w:r w:rsidR="009F1608" w:rsidRPr="001646A6">
        <w:rPr>
          <w:rFonts w:ascii="Avenir Next LT Pro" w:hAnsi="Avenir Next LT Pro"/>
          <w:i/>
          <w:iCs/>
        </w:rPr>
        <w:t>5</w:t>
      </w:r>
      <w:r>
        <w:rPr>
          <w:rFonts w:ascii="Avenir Next LT Pro" w:hAnsi="Avenir Next LT Pro"/>
          <w:i/>
          <w:iCs/>
        </w:rPr>
        <w:t xml:space="preserve"> Conference Centre room 9</w:t>
      </w:r>
    </w:p>
    <w:p w14:paraId="3445897C" w14:textId="77777777" w:rsidR="008A139F" w:rsidRDefault="008A139F" w:rsidP="001646A6">
      <w:pPr>
        <w:tabs>
          <w:tab w:val="left" w:pos="1380"/>
        </w:tabs>
        <w:jc w:val="both"/>
        <w:rPr>
          <w:rFonts w:ascii="Avenir Next LT Pro" w:hAnsi="Avenir Next LT Pro"/>
          <w:i/>
          <w:iCs/>
        </w:rPr>
      </w:pPr>
    </w:p>
    <w:p w14:paraId="3A75C84B" w14:textId="6C39D9B1" w:rsidR="00973DAD" w:rsidRDefault="00973DAD" w:rsidP="00A664CE">
      <w:pPr>
        <w:pStyle w:val="ListParagraph"/>
        <w:numPr>
          <w:ilvl w:val="0"/>
          <w:numId w:val="38"/>
        </w:numPr>
        <w:tabs>
          <w:tab w:val="left" w:pos="1380"/>
        </w:tabs>
        <w:rPr>
          <w:rFonts w:ascii="Avenir Next LT Pro" w:hAnsi="Avenir Next LT Pro"/>
        </w:rPr>
      </w:pPr>
      <w:r>
        <w:rPr>
          <w:rFonts w:ascii="Avenir Next LT Pro" w:hAnsi="Avenir Next LT Pro"/>
        </w:rPr>
        <w:t>Dear Rupert</w:t>
      </w:r>
      <w:r w:rsidR="00246C5E">
        <w:rPr>
          <w:rFonts w:ascii="Avenir Next LT Pro" w:hAnsi="Avenir Next LT Pro"/>
        </w:rPr>
        <w:t xml:space="preserve">, </w:t>
      </w:r>
      <w:r>
        <w:rPr>
          <w:rFonts w:ascii="Avenir Next LT Pro" w:hAnsi="Avenir Next LT Pro"/>
        </w:rPr>
        <w:t>Delegates</w:t>
      </w:r>
      <w:r w:rsidR="00246C5E">
        <w:rPr>
          <w:rFonts w:ascii="Avenir Next LT Pro" w:hAnsi="Avenir Next LT Pro"/>
        </w:rPr>
        <w:t xml:space="preserve"> and Colleagues</w:t>
      </w:r>
      <w:r>
        <w:rPr>
          <w:rFonts w:ascii="Avenir Next LT Pro" w:hAnsi="Avenir Next LT Pro"/>
        </w:rPr>
        <w:t>,</w:t>
      </w:r>
    </w:p>
    <w:p w14:paraId="16F27C79" w14:textId="77777777" w:rsidR="00973DAD" w:rsidRDefault="00973DAD" w:rsidP="00A664CE">
      <w:pPr>
        <w:pStyle w:val="ListParagraph"/>
        <w:numPr>
          <w:ilvl w:val="0"/>
          <w:numId w:val="38"/>
        </w:numPr>
        <w:tabs>
          <w:tab w:val="left" w:pos="1380"/>
        </w:tabs>
        <w:rPr>
          <w:rFonts w:ascii="Avenir Next LT Pro" w:hAnsi="Avenir Next LT Pro"/>
        </w:rPr>
      </w:pPr>
    </w:p>
    <w:p w14:paraId="3607B005" w14:textId="5391AEFA" w:rsidR="008A139F" w:rsidRDefault="008A139F" w:rsidP="00A664CE">
      <w:pPr>
        <w:pStyle w:val="ListParagraph"/>
        <w:numPr>
          <w:ilvl w:val="0"/>
          <w:numId w:val="38"/>
        </w:numPr>
        <w:tabs>
          <w:tab w:val="left" w:pos="1380"/>
        </w:tabs>
        <w:rPr>
          <w:rFonts w:ascii="Avenir Next LT Pro" w:hAnsi="Avenir Next LT Pro"/>
        </w:rPr>
      </w:pPr>
      <w:r>
        <w:rPr>
          <w:rFonts w:ascii="Avenir Next LT Pro" w:hAnsi="Avenir Next LT Pro"/>
        </w:rPr>
        <w:t>Thank you for giving us again the opportunity to share our ideas and observations with you</w:t>
      </w:r>
      <w:r w:rsidR="009115DD">
        <w:rPr>
          <w:rFonts w:ascii="Avenir Next LT Pro" w:hAnsi="Avenir Next LT Pro"/>
        </w:rPr>
        <w:t xml:space="preserve">. The work of the OECD in the realm of investment </w:t>
      </w:r>
      <w:r w:rsidR="00043CDB">
        <w:rPr>
          <w:rFonts w:ascii="Avenir Next LT Pro" w:hAnsi="Avenir Next LT Pro"/>
        </w:rPr>
        <w:t>is highly appreciated by business.</w:t>
      </w:r>
      <w:r w:rsidR="00A664CE">
        <w:rPr>
          <w:rFonts w:ascii="Avenir Next LT Pro" w:hAnsi="Avenir Next LT Pro"/>
        </w:rPr>
        <w:br/>
      </w:r>
    </w:p>
    <w:p w14:paraId="62F3B09A" w14:textId="0FCFBB25" w:rsidR="00043CDB" w:rsidRPr="008A139F" w:rsidRDefault="00043CDB" w:rsidP="00A664CE">
      <w:pPr>
        <w:pStyle w:val="ListParagraph"/>
        <w:numPr>
          <w:ilvl w:val="0"/>
          <w:numId w:val="38"/>
        </w:numPr>
        <w:tabs>
          <w:tab w:val="left" w:pos="1380"/>
        </w:tabs>
        <w:rPr>
          <w:rFonts w:ascii="Avenir Next LT Pro" w:hAnsi="Avenir Next LT Pro"/>
        </w:rPr>
      </w:pPr>
      <w:r>
        <w:rPr>
          <w:rFonts w:ascii="Avenir Next LT Pro" w:hAnsi="Avenir Next LT Pro"/>
        </w:rPr>
        <w:t xml:space="preserve">I would like to address briefly four issues </w:t>
      </w:r>
      <w:r w:rsidR="006B0C09">
        <w:rPr>
          <w:rFonts w:ascii="Avenir Next LT Pro" w:hAnsi="Avenir Next LT Pro"/>
        </w:rPr>
        <w:t>today:</w:t>
      </w:r>
      <w:r w:rsidR="002E03EA">
        <w:rPr>
          <w:rFonts w:ascii="Avenir Next LT Pro" w:hAnsi="Avenir Next LT Pro"/>
        </w:rPr>
        <w:br/>
      </w:r>
      <w:r w:rsidR="006B0C09">
        <w:rPr>
          <w:rFonts w:ascii="Avenir Next LT Pro" w:hAnsi="Avenir Next LT Pro"/>
        </w:rPr>
        <w:br/>
        <w:t xml:space="preserve">- two </w:t>
      </w:r>
      <w:r w:rsidR="00A374A7">
        <w:rPr>
          <w:rFonts w:ascii="Avenir Next LT Pro" w:hAnsi="Avenir Next LT Pro"/>
        </w:rPr>
        <w:t xml:space="preserve">specific </w:t>
      </w:r>
      <w:r w:rsidR="006B0C09">
        <w:rPr>
          <w:rFonts w:ascii="Avenir Next LT Pro" w:hAnsi="Avenir Next LT Pro"/>
        </w:rPr>
        <w:t>policy issues</w:t>
      </w:r>
      <w:r w:rsidR="005021A7">
        <w:rPr>
          <w:rFonts w:ascii="Avenir Next LT Pro" w:hAnsi="Avenir Next LT Pro"/>
        </w:rPr>
        <w:t xml:space="preserve">, namely </w:t>
      </w:r>
      <w:r w:rsidR="00FE0A80">
        <w:rPr>
          <w:rFonts w:ascii="Avenir Next LT Pro" w:hAnsi="Avenir Next LT Pro"/>
        </w:rPr>
        <w:br/>
      </w:r>
      <w:r w:rsidR="00A664CE">
        <w:rPr>
          <w:rFonts w:ascii="Avenir Next LT Pro" w:hAnsi="Avenir Next LT Pro"/>
        </w:rPr>
        <w:br/>
      </w:r>
      <w:r w:rsidR="00795DEC">
        <w:rPr>
          <w:rFonts w:ascii="Avenir Next LT Pro" w:hAnsi="Avenir Next LT Pro"/>
        </w:rPr>
        <w:t>investment</w:t>
      </w:r>
      <w:r w:rsidR="00FA2DCD">
        <w:rPr>
          <w:rFonts w:ascii="Avenir Next LT Pro" w:hAnsi="Avenir Next LT Pro"/>
        </w:rPr>
        <w:t xml:space="preserve"> </w:t>
      </w:r>
      <w:r w:rsidR="00795DEC">
        <w:rPr>
          <w:rFonts w:ascii="Avenir Next LT Pro" w:hAnsi="Avenir Next LT Pro"/>
        </w:rPr>
        <w:t xml:space="preserve">treaties </w:t>
      </w:r>
      <w:r w:rsidR="00A664CE">
        <w:rPr>
          <w:rFonts w:ascii="Avenir Next LT Pro" w:hAnsi="Avenir Next LT Pro"/>
        </w:rPr>
        <w:t>and</w:t>
      </w:r>
      <w:r w:rsidR="00FE0A80">
        <w:rPr>
          <w:rFonts w:ascii="Avenir Next LT Pro" w:hAnsi="Avenir Next LT Pro"/>
        </w:rPr>
        <w:br/>
      </w:r>
      <w:r w:rsidR="002E03EA">
        <w:rPr>
          <w:rFonts w:ascii="Avenir Next LT Pro" w:hAnsi="Avenir Next LT Pro"/>
        </w:rPr>
        <w:br/>
      </w:r>
      <w:r w:rsidR="00795DEC">
        <w:rPr>
          <w:rFonts w:ascii="Avenir Next LT Pro" w:hAnsi="Avenir Next LT Pro"/>
        </w:rPr>
        <w:t xml:space="preserve">the </w:t>
      </w:r>
      <w:r w:rsidR="00B87F85">
        <w:rPr>
          <w:rFonts w:ascii="Avenir Next LT Pro" w:hAnsi="Avenir Next LT Pro"/>
        </w:rPr>
        <w:t xml:space="preserve">draft OECD Recommendation </w:t>
      </w:r>
      <w:r w:rsidR="00000412">
        <w:rPr>
          <w:rFonts w:ascii="Avenir Next LT Pro" w:hAnsi="Avenir Next LT Pro"/>
        </w:rPr>
        <w:t>on the Efficient Use of Investment Incentives</w:t>
      </w:r>
      <w:r w:rsidR="002E03EA">
        <w:rPr>
          <w:rFonts w:ascii="Avenir Next LT Pro" w:hAnsi="Avenir Next LT Pro"/>
        </w:rPr>
        <w:br/>
      </w:r>
      <w:r w:rsidR="00000412">
        <w:rPr>
          <w:rFonts w:ascii="Avenir Next LT Pro" w:hAnsi="Avenir Next LT Pro"/>
        </w:rPr>
        <w:br/>
        <w:t xml:space="preserve">- and two </w:t>
      </w:r>
      <w:r w:rsidR="00A374A7">
        <w:rPr>
          <w:rFonts w:ascii="Avenir Next LT Pro" w:hAnsi="Avenir Next LT Pro"/>
        </w:rPr>
        <w:t xml:space="preserve">important </w:t>
      </w:r>
      <w:r w:rsidR="00000412">
        <w:rPr>
          <w:rFonts w:ascii="Avenir Next LT Pro" w:hAnsi="Avenir Next LT Pro"/>
        </w:rPr>
        <w:t>upcoming events, namely</w:t>
      </w:r>
      <w:r w:rsidR="00775F9D">
        <w:rPr>
          <w:rFonts w:ascii="Avenir Next LT Pro" w:hAnsi="Avenir Next LT Pro"/>
        </w:rPr>
        <w:t xml:space="preserve"> </w:t>
      </w:r>
      <w:r w:rsidR="00FE0A80">
        <w:rPr>
          <w:rFonts w:ascii="Avenir Next LT Pro" w:hAnsi="Avenir Next LT Pro"/>
        </w:rPr>
        <w:br/>
      </w:r>
      <w:r w:rsidR="008149AE">
        <w:rPr>
          <w:rFonts w:ascii="Avenir Next LT Pro" w:hAnsi="Avenir Next LT Pro"/>
        </w:rPr>
        <w:br/>
      </w:r>
      <w:r w:rsidR="00775F9D">
        <w:rPr>
          <w:rFonts w:ascii="Avenir Next LT Pro" w:hAnsi="Avenir Next LT Pro"/>
        </w:rPr>
        <w:t>the side event Business@OECD will organise together with the Finnish government</w:t>
      </w:r>
      <w:r w:rsidR="001F4A80">
        <w:rPr>
          <w:rFonts w:ascii="Avenir Next LT Pro" w:hAnsi="Avenir Next LT Pro"/>
        </w:rPr>
        <w:t xml:space="preserve"> and the OECD at the MCM in June</w:t>
      </w:r>
      <w:r w:rsidR="00FE0A80">
        <w:rPr>
          <w:rFonts w:ascii="Avenir Next LT Pro" w:hAnsi="Avenir Next LT Pro"/>
        </w:rPr>
        <w:br/>
      </w:r>
      <w:r w:rsidR="001F4A80">
        <w:rPr>
          <w:rFonts w:ascii="Avenir Next LT Pro" w:hAnsi="Avenir Next LT Pro"/>
        </w:rPr>
        <w:br/>
        <w:t xml:space="preserve">and the November Investment Committee Conference </w:t>
      </w:r>
      <w:r w:rsidR="002E03EA">
        <w:rPr>
          <w:rFonts w:ascii="Avenir Next LT Pro" w:hAnsi="Avenir Next LT Pro"/>
        </w:rPr>
        <w:t>to celebrate the 50</w:t>
      </w:r>
      <w:r w:rsidR="002E03EA" w:rsidRPr="002E03EA">
        <w:rPr>
          <w:rFonts w:ascii="Avenir Next LT Pro" w:hAnsi="Avenir Next LT Pro"/>
          <w:vertAlign w:val="superscript"/>
        </w:rPr>
        <w:t>th</w:t>
      </w:r>
      <w:r w:rsidR="002E03EA">
        <w:rPr>
          <w:rFonts w:ascii="Avenir Next LT Pro" w:hAnsi="Avenir Next LT Pro"/>
        </w:rPr>
        <w:t xml:space="preserve"> anniversary of the OECD Investment Declaration</w:t>
      </w:r>
    </w:p>
    <w:p w14:paraId="376EA434" w14:textId="2694EC9B" w:rsidR="00487DC4" w:rsidRDefault="00487DC4">
      <w:pPr>
        <w:rPr>
          <w:rFonts w:ascii="Avenir Next LT Pro" w:hAnsi="Avenir Next LT Pro"/>
          <w:i/>
          <w:iCs/>
        </w:rPr>
      </w:pPr>
      <w:r>
        <w:rPr>
          <w:rFonts w:ascii="Avenir Next LT Pro" w:hAnsi="Avenir Next LT Pro"/>
          <w:i/>
          <w:iCs/>
        </w:rPr>
        <w:br w:type="page"/>
      </w:r>
    </w:p>
    <w:p w14:paraId="3A45BD1E" w14:textId="77777777" w:rsidR="00DF6220" w:rsidRDefault="00DF6220" w:rsidP="001646A6">
      <w:pPr>
        <w:tabs>
          <w:tab w:val="left" w:pos="1380"/>
        </w:tabs>
        <w:jc w:val="both"/>
        <w:rPr>
          <w:rFonts w:ascii="Avenir Next LT Pro" w:hAnsi="Avenir Next LT Pro"/>
          <w:i/>
          <w:iCs/>
        </w:rPr>
      </w:pPr>
    </w:p>
    <w:p w14:paraId="6ADD3BDE" w14:textId="5EB9BD2A" w:rsidR="00DC50C3" w:rsidRPr="002069C5" w:rsidRDefault="007A3D9C" w:rsidP="00DC50C3">
      <w:pPr>
        <w:pStyle w:val="ListParagraph"/>
        <w:numPr>
          <w:ilvl w:val="0"/>
          <w:numId w:val="15"/>
        </w:numPr>
        <w:tabs>
          <w:tab w:val="left" w:pos="1380"/>
        </w:tabs>
        <w:jc w:val="both"/>
        <w:rPr>
          <w:rFonts w:ascii="Avenir Next LT Pro" w:hAnsi="Avenir Next LT Pro"/>
          <w:b/>
          <w:bCs/>
        </w:rPr>
      </w:pPr>
      <w:r w:rsidRPr="002069C5">
        <w:rPr>
          <w:rFonts w:ascii="Avenir Next LT Pro" w:hAnsi="Avenir Next LT Pro"/>
          <w:b/>
          <w:bCs/>
        </w:rPr>
        <w:t xml:space="preserve">Our main message </w:t>
      </w:r>
      <w:r w:rsidR="00DC50C3" w:rsidRPr="002069C5">
        <w:rPr>
          <w:rFonts w:ascii="Avenir Next LT Pro" w:hAnsi="Avenir Next LT Pro"/>
          <w:b/>
          <w:bCs/>
        </w:rPr>
        <w:t>to the 2026 OECD Investment Treaty Conference</w:t>
      </w:r>
      <w:r w:rsidR="00E11759">
        <w:rPr>
          <w:rFonts w:ascii="Avenir Next LT Pro" w:hAnsi="Avenir Next LT Pro"/>
          <w:b/>
          <w:bCs/>
        </w:rPr>
        <w:t xml:space="preserve"> of last Monday</w:t>
      </w:r>
    </w:p>
    <w:p w14:paraId="444E96C7" w14:textId="4611403C" w:rsidR="00DC50C3" w:rsidRDefault="00AB4A13" w:rsidP="00787EB6">
      <w:pPr>
        <w:tabs>
          <w:tab w:val="left" w:pos="1380"/>
        </w:tabs>
        <w:rPr>
          <w:rFonts w:ascii="Avenir Next LT Pro" w:hAnsi="Avenir Next LT Pro"/>
          <w:color w:val="000000" w:themeColor="text1"/>
        </w:rPr>
      </w:pPr>
      <w:r>
        <w:rPr>
          <w:rFonts w:ascii="Avenir Next LT Pro" w:hAnsi="Avenir Next LT Pro"/>
          <w:color w:val="000000" w:themeColor="text1"/>
        </w:rPr>
        <w:t xml:space="preserve">We </w:t>
      </w:r>
      <w:r w:rsidRPr="00F9229F">
        <w:rPr>
          <w:rFonts w:ascii="Avenir Next LT Pro" w:hAnsi="Avenir Next LT Pro"/>
          <w:b/>
          <w:bCs/>
          <w:color w:val="000000" w:themeColor="text1"/>
        </w:rPr>
        <w:t>v</w:t>
      </w:r>
      <w:r w:rsidR="009D5BD2" w:rsidRPr="00F9229F">
        <w:rPr>
          <w:rFonts w:ascii="Avenir Next LT Pro" w:hAnsi="Avenir Next LT Pro"/>
          <w:b/>
          <w:bCs/>
          <w:color w:val="000000" w:themeColor="text1"/>
        </w:rPr>
        <w:t>e</w:t>
      </w:r>
      <w:r w:rsidRPr="00F9229F">
        <w:rPr>
          <w:rFonts w:ascii="Avenir Next LT Pro" w:hAnsi="Avenir Next LT Pro"/>
          <w:b/>
          <w:bCs/>
          <w:color w:val="000000" w:themeColor="text1"/>
        </w:rPr>
        <w:t>ry much appreciate</w:t>
      </w:r>
      <w:r>
        <w:rPr>
          <w:rFonts w:ascii="Avenir Next LT Pro" w:hAnsi="Avenir Next LT Pro"/>
          <w:color w:val="000000" w:themeColor="text1"/>
        </w:rPr>
        <w:t xml:space="preserve"> the work of the OECD in the field of investment </w:t>
      </w:r>
      <w:r w:rsidR="005B32C3">
        <w:rPr>
          <w:rFonts w:ascii="Avenir Next LT Pro" w:hAnsi="Avenir Next LT Pro"/>
          <w:color w:val="000000" w:themeColor="text1"/>
        </w:rPr>
        <w:t>treaties</w:t>
      </w:r>
      <w:r w:rsidR="009D5BD2">
        <w:rPr>
          <w:rFonts w:ascii="Avenir Next LT Pro" w:hAnsi="Avenir Next LT Pro"/>
          <w:color w:val="000000" w:themeColor="text1"/>
        </w:rPr>
        <w:t xml:space="preserve">. </w:t>
      </w:r>
      <w:r w:rsidR="00600120">
        <w:rPr>
          <w:rFonts w:ascii="Avenir Next LT Pro" w:hAnsi="Avenir Next LT Pro"/>
          <w:color w:val="000000" w:themeColor="text1"/>
        </w:rPr>
        <w:br/>
      </w:r>
      <w:r w:rsidR="009D5BD2">
        <w:rPr>
          <w:rFonts w:ascii="Avenir Next LT Pro" w:hAnsi="Avenir Next LT Pro"/>
          <w:color w:val="000000" w:themeColor="text1"/>
        </w:rPr>
        <w:t xml:space="preserve">For business it is a </w:t>
      </w:r>
      <w:r w:rsidR="009D5BD2" w:rsidRPr="00E11759">
        <w:rPr>
          <w:rFonts w:ascii="Avenir Next LT Pro" w:hAnsi="Avenir Next LT Pro"/>
          <w:b/>
          <w:bCs/>
          <w:color w:val="000000" w:themeColor="text1"/>
        </w:rPr>
        <w:t>key workstream</w:t>
      </w:r>
      <w:r w:rsidR="009D5BD2">
        <w:rPr>
          <w:rFonts w:ascii="Avenir Next LT Pro" w:hAnsi="Avenir Next LT Pro"/>
          <w:color w:val="000000" w:themeColor="text1"/>
        </w:rPr>
        <w:t>, especially with the increasing unpredictability of international economic relations.</w:t>
      </w:r>
    </w:p>
    <w:p w14:paraId="61581754" w14:textId="26C56E47" w:rsidR="00DC50C3" w:rsidRPr="00A55597" w:rsidRDefault="004B62D7" w:rsidP="00787EB6">
      <w:pPr>
        <w:tabs>
          <w:tab w:val="left" w:pos="1380"/>
        </w:tabs>
        <w:rPr>
          <w:rFonts w:ascii="Avenir Next LT Pro" w:hAnsi="Avenir Next LT Pro"/>
          <w:color w:val="000000" w:themeColor="text1"/>
          <w:lang w:val="en-US"/>
        </w:rPr>
      </w:pPr>
      <w:r w:rsidRPr="004B62D7">
        <w:rPr>
          <w:rFonts w:ascii="Avenir Next LT Pro" w:hAnsi="Avenir Next LT Pro"/>
          <w:color w:val="000000" w:themeColor="text1"/>
          <w:lang w:val="en-US"/>
        </w:rPr>
        <w:t>On behalf of</w:t>
      </w:r>
      <w:r>
        <w:rPr>
          <w:rFonts w:ascii="Avenir Next LT Pro" w:hAnsi="Avenir Next LT Pro"/>
          <w:i/>
          <w:iCs/>
          <w:color w:val="000000" w:themeColor="text1"/>
          <w:lang w:val="en-US"/>
        </w:rPr>
        <w:t xml:space="preserve"> </w:t>
      </w:r>
      <w:r w:rsidR="00DC50C3" w:rsidRPr="00A55597">
        <w:rPr>
          <w:rFonts w:ascii="Avenir Next LT Pro" w:hAnsi="Avenir Next LT Pro"/>
          <w:i/>
          <w:iCs/>
          <w:color w:val="000000" w:themeColor="text1"/>
          <w:lang w:val="en-US"/>
        </w:rPr>
        <w:t>Business at OECD</w:t>
      </w:r>
      <w:r w:rsidR="00B83623">
        <w:rPr>
          <w:rFonts w:ascii="Avenir Next LT Pro" w:hAnsi="Avenir Next LT Pro"/>
          <w:i/>
          <w:iCs/>
          <w:color w:val="000000" w:themeColor="text1"/>
          <w:lang w:val="en-US"/>
        </w:rPr>
        <w:t>,</w:t>
      </w:r>
      <w:r w:rsidR="00DC50C3" w:rsidRPr="00A55597">
        <w:rPr>
          <w:rFonts w:ascii="Avenir Next LT Pro" w:hAnsi="Avenir Next LT Pro"/>
          <w:color w:val="000000" w:themeColor="text1"/>
          <w:lang w:val="en-US"/>
        </w:rPr>
        <w:t xml:space="preserve"> Jason File, </w:t>
      </w:r>
      <w:r w:rsidR="00DC50C3">
        <w:rPr>
          <w:rFonts w:ascii="Avenir Next LT Pro" w:hAnsi="Avenir Next LT Pro"/>
          <w:color w:val="000000" w:themeColor="text1"/>
          <w:lang w:val="en-US"/>
        </w:rPr>
        <w:t>Director of Legal Affairs at the US Council of International Business</w:t>
      </w:r>
      <w:r w:rsidR="00CD5446">
        <w:rPr>
          <w:rFonts w:ascii="Avenir Next LT Pro" w:hAnsi="Avenir Next LT Pro"/>
          <w:color w:val="000000" w:themeColor="text1"/>
          <w:lang w:val="en-US"/>
        </w:rPr>
        <w:t xml:space="preserve"> presented </w:t>
      </w:r>
      <w:r w:rsidR="00CD5446" w:rsidRPr="00F9229F">
        <w:rPr>
          <w:rFonts w:ascii="Avenir Next LT Pro" w:hAnsi="Avenir Next LT Pro"/>
          <w:b/>
          <w:bCs/>
          <w:color w:val="000000" w:themeColor="text1"/>
          <w:lang w:val="en-US"/>
        </w:rPr>
        <w:t>our contribution at the conference</w:t>
      </w:r>
      <w:r w:rsidR="00DC50C3">
        <w:rPr>
          <w:rFonts w:ascii="Avenir Next LT Pro" w:hAnsi="Avenir Next LT Pro"/>
          <w:color w:val="000000" w:themeColor="text1"/>
          <w:lang w:val="en-US"/>
        </w:rPr>
        <w:t>.</w:t>
      </w:r>
    </w:p>
    <w:p w14:paraId="0B83EA14" w14:textId="4D6AC731" w:rsidR="00DC50C3" w:rsidRPr="00A55597" w:rsidRDefault="00CD5446" w:rsidP="00787EB6">
      <w:pPr>
        <w:tabs>
          <w:tab w:val="left" w:pos="1380"/>
        </w:tabs>
        <w:rPr>
          <w:rFonts w:ascii="Avenir Next LT Pro" w:hAnsi="Avenir Next LT Pro"/>
          <w:color w:val="000000" w:themeColor="text1"/>
          <w:lang w:val="en-US"/>
        </w:rPr>
      </w:pPr>
      <w:r w:rsidRPr="00600120">
        <w:rPr>
          <w:rFonts w:ascii="Avenir Next LT Pro" w:hAnsi="Avenir Next LT Pro"/>
          <w:b/>
          <w:bCs/>
          <w:color w:val="000000" w:themeColor="text1"/>
          <w:lang w:val="en-US"/>
        </w:rPr>
        <w:t>Ou</w:t>
      </w:r>
      <w:r w:rsidR="00B83623" w:rsidRPr="00600120">
        <w:rPr>
          <w:rFonts w:ascii="Avenir Next LT Pro" w:hAnsi="Avenir Next LT Pro"/>
          <w:b/>
          <w:bCs/>
          <w:color w:val="000000" w:themeColor="text1"/>
          <w:lang w:val="en-US"/>
        </w:rPr>
        <w:t>r</w:t>
      </w:r>
      <w:r w:rsidRPr="00600120">
        <w:rPr>
          <w:rFonts w:ascii="Avenir Next LT Pro" w:hAnsi="Avenir Next LT Pro"/>
          <w:b/>
          <w:bCs/>
          <w:color w:val="000000" w:themeColor="text1"/>
          <w:lang w:val="en-US"/>
        </w:rPr>
        <w:t xml:space="preserve"> key</w:t>
      </w:r>
      <w:r w:rsidR="00DC50C3" w:rsidRPr="00600120">
        <w:rPr>
          <w:rFonts w:ascii="Avenir Next LT Pro" w:hAnsi="Avenir Next LT Pro"/>
          <w:b/>
          <w:bCs/>
          <w:color w:val="000000" w:themeColor="text1"/>
          <w:lang w:val="en-US"/>
        </w:rPr>
        <w:t xml:space="preserve"> message</w:t>
      </w:r>
      <w:r w:rsidR="00DC50C3" w:rsidRPr="00A55597">
        <w:rPr>
          <w:rFonts w:ascii="Avenir Next LT Pro" w:hAnsi="Avenir Next LT Pro"/>
          <w:color w:val="000000" w:themeColor="text1"/>
          <w:lang w:val="en-US"/>
        </w:rPr>
        <w:t xml:space="preserve"> </w:t>
      </w:r>
      <w:r w:rsidR="00347C4F">
        <w:rPr>
          <w:rFonts w:ascii="Avenir Next LT Pro" w:hAnsi="Avenir Next LT Pro"/>
          <w:color w:val="000000" w:themeColor="text1"/>
          <w:lang w:val="en-US"/>
        </w:rPr>
        <w:t>was to stress the undiminished</w:t>
      </w:r>
      <w:r w:rsidR="00DC50C3" w:rsidRPr="00A55597">
        <w:rPr>
          <w:rFonts w:ascii="Avenir Next LT Pro" w:hAnsi="Avenir Next LT Pro"/>
          <w:color w:val="000000" w:themeColor="text1"/>
          <w:lang w:val="en-US"/>
        </w:rPr>
        <w:t xml:space="preserve"> importance of maintaining effective and reliable dispute settlement mechanisms</w:t>
      </w:r>
      <w:r w:rsidR="00C40FBC">
        <w:rPr>
          <w:rFonts w:ascii="Avenir Next LT Pro" w:hAnsi="Avenir Next LT Pro"/>
          <w:color w:val="000000" w:themeColor="text1"/>
          <w:lang w:val="en-US"/>
        </w:rPr>
        <w:t>,</w:t>
      </w:r>
      <w:r w:rsidR="00DC50C3" w:rsidRPr="00A55597">
        <w:rPr>
          <w:rFonts w:ascii="Avenir Next LT Pro" w:hAnsi="Avenir Next LT Pro"/>
          <w:color w:val="000000" w:themeColor="text1"/>
          <w:lang w:val="en-US"/>
        </w:rPr>
        <w:t xml:space="preserve"> as a cornerstone of the international investment framework.</w:t>
      </w:r>
    </w:p>
    <w:p w14:paraId="5EB7BEB5" w14:textId="32E3E0B5" w:rsidR="00DC50C3" w:rsidRDefault="00B80BA3" w:rsidP="00787EB6">
      <w:pPr>
        <w:tabs>
          <w:tab w:val="left" w:pos="1380"/>
        </w:tabs>
        <w:rPr>
          <w:rFonts w:ascii="Avenir Next LT Pro" w:hAnsi="Avenir Next LT Pro"/>
          <w:color w:val="000000" w:themeColor="text1"/>
          <w:lang w:val="en-US"/>
        </w:rPr>
      </w:pPr>
      <w:r w:rsidRPr="00BF1A62">
        <w:rPr>
          <w:rFonts w:ascii="Avenir Next LT Pro" w:hAnsi="Avenir Next LT Pro"/>
          <w:color w:val="000000" w:themeColor="text1"/>
          <w:lang w:val="en-US"/>
        </w:rPr>
        <w:t>In that respect,</w:t>
      </w:r>
      <w:r w:rsidR="00DC50C3" w:rsidRPr="00A55597">
        <w:rPr>
          <w:rFonts w:ascii="Avenir Next LT Pro" w:hAnsi="Avenir Next LT Pro"/>
          <w:color w:val="000000" w:themeColor="text1"/>
          <w:lang w:val="en-US"/>
        </w:rPr>
        <w:t xml:space="preserve"> </w:t>
      </w:r>
      <w:r w:rsidR="00DC50C3" w:rsidRPr="00F9229F">
        <w:rPr>
          <w:rFonts w:ascii="Avenir Next LT Pro" w:hAnsi="Avenir Next LT Pro"/>
          <w:b/>
          <w:bCs/>
          <w:color w:val="000000" w:themeColor="text1"/>
          <w:lang w:val="en-US"/>
        </w:rPr>
        <w:t>Investor-State Dispute Settlement (ISDS)</w:t>
      </w:r>
      <w:r w:rsidR="00DC50C3" w:rsidRPr="00A55597">
        <w:rPr>
          <w:rFonts w:ascii="Avenir Next LT Pro" w:hAnsi="Avenir Next LT Pro"/>
          <w:color w:val="000000" w:themeColor="text1"/>
          <w:lang w:val="en-US"/>
        </w:rPr>
        <w:t xml:space="preserve"> remains an essential tool for investors</w:t>
      </w:r>
      <w:r w:rsidR="002D7E53">
        <w:rPr>
          <w:rFonts w:ascii="Avenir Next LT Pro" w:hAnsi="Avenir Next LT Pro"/>
          <w:color w:val="000000" w:themeColor="text1"/>
          <w:lang w:val="en-US"/>
        </w:rPr>
        <w:t>.</w:t>
      </w:r>
    </w:p>
    <w:p w14:paraId="2ED8BF83" w14:textId="0596E75E" w:rsidR="00DC50C3" w:rsidRPr="00A55597" w:rsidRDefault="006D2146" w:rsidP="00787EB6">
      <w:pPr>
        <w:tabs>
          <w:tab w:val="left" w:pos="1380"/>
        </w:tabs>
        <w:rPr>
          <w:rFonts w:ascii="Avenir Next LT Pro" w:hAnsi="Avenir Next LT Pro"/>
          <w:color w:val="000000" w:themeColor="text1"/>
          <w:lang w:val="en-US"/>
        </w:rPr>
      </w:pPr>
      <w:r w:rsidRPr="00EE702D">
        <w:rPr>
          <w:rFonts w:ascii="Avenir Next LT Pro" w:hAnsi="Avenir Next LT Pro"/>
          <w:b/>
          <w:bCs/>
          <w:color w:val="000000" w:themeColor="text1"/>
          <w:lang w:val="en-US"/>
        </w:rPr>
        <w:t>No substitute to ISDS provides</w:t>
      </w:r>
      <w:r w:rsidR="00C40FBC">
        <w:rPr>
          <w:rFonts w:ascii="Avenir Next LT Pro" w:hAnsi="Avenir Next LT Pro"/>
          <w:color w:val="000000" w:themeColor="text1"/>
          <w:lang w:val="en-US"/>
        </w:rPr>
        <w:t>:</w:t>
      </w:r>
      <w:r w:rsidR="00787EB6">
        <w:rPr>
          <w:rFonts w:ascii="Avenir Next LT Pro" w:hAnsi="Avenir Next LT Pro"/>
          <w:color w:val="000000" w:themeColor="text1"/>
          <w:lang w:val="en-US"/>
        </w:rPr>
        <w:br/>
      </w:r>
      <w:r w:rsidR="00DC50C3" w:rsidRPr="00A55597">
        <w:rPr>
          <w:rFonts w:ascii="Avenir Next LT Pro" w:hAnsi="Avenir Next LT Pro"/>
          <w:color w:val="000000" w:themeColor="text1"/>
          <w:lang w:val="en-US"/>
        </w:rPr>
        <w:t xml:space="preserve">direct and depoliticised access to dispute resolution, </w:t>
      </w:r>
      <w:r w:rsidR="00EE702D">
        <w:rPr>
          <w:rFonts w:ascii="Avenir Next LT Pro" w:hAnsi="Avenir Next LT Pro"/>
          <w:color w:val="000000" w:themeColor="text1"/>
          <w:lang w:val="en-US"/>
        </w:rPr>
        <w:t>and</w:t>
      </w:r>
      <w:r w:rsidR="002B1A3F">
        <w:rPr>
          <w:rFonts w:ascii="Avenir Next LT Pro" w:hAnsi="Avenir Next LT Pro"/>
          <w:color w:val="000000" w:themeColor="text1"/>
          <w:lang w:val="en-US"/>
        </w:rPr>
        <w:br/>
      </w:r>
      <w:r w:rsidR="00DC50C3" w:rsidRPr="00A55597">
        <w:rPr>
          <w:rFonts w:ascii="Avenir Next LT Pro" w:hAnsi="Avenir Next LT Pro"/>
          <w:color w:val="000000" w:themeColor="text1"/>
          <w:lang w:val="en-US"/>
        </w:rPr>
        <w:t>binding and enforceable outcomes</w:t>
      </w:r>
      <w:r w:rsidR="002F0CCD">
        <w:rPr>
          <w:rFonts w:ascii="Avenir Next LT Pro" w:hAnsi="Avenir Next LT Pro"/>
          <w:color w:val="000000" w:themeColor="text1"/>
          <w:lang w:val="en-US"/>
        </w:rPr>
        <w:t xml:space="preserve"> within </w:t>
      </w:r>
      <w:r w:rsidR="0093380F">
        <w:rPr>
          <w:rFonts w:ascii="Avenir Next LT Pro" w:hAnsi="Avenir Next LT Pro"/>
          <w:color w:val="000000" w:themeColor="text1"/>
          <w:lang w:val="en-US"/>
        </w:rPr>
        <w:t>a limited time-frame</w:t>
      </w:r>
      <w:r w:rsidR="00D97B7F">
        <w:rPr>
          <w:rFonts w:ascii="Avenir Next LT Pro" w:hAnsi="Avenir Next LT Pro"/>
          <w:color w:val="000000" w:themeColor="text1"/>
          <w:lang w:val="en-US"/>
        </w:rPr>
        <w:t xml:space="preserve">, </w:t>
      </w:r>
      <w:r w:rsidR="002B1A3F">
        <w:rPr>
          <w:rFonts w:ascii="Avenir Next LT Pro" w:hAnsi="Avenir Next LT Pro"/>
          <w:color w:val="000000" w:themeColor="text1"/>
          <w:lang w:val="en-US"/>
        </w:rPr>
        <w:br/>
      </w:r>
      <w:r w:rsidR="00D97B7F">
        <w:rPr>
          <w:rFonts w:ascii="Avenir Next LT Pro" w:hAnsi="Avenir Next LT Pro"/>
          <w:color w:val="000000" w:themeColor="text1"/>
          <w:lang w:val="en-US"/>
        </w:rPr>
        <w:t xml:space="preserve">especially in cases where the judiciary of host countries </w:t>
      </w:r>
      <w:r w:rsidR="00E515F2">
        <w:rPr>
          <w:rFonts w:ascii="Avenir Next LT Pro" w:hAnsi="Avenir Next LT Pro"/>
          <w:color w:val="000000" w:themeColor="text1"/>
          <w:lang w:val="en-US"/>
        </w:rPr>
        <w:t>shows deficiencies, a.o.</w:t>
      </w:r>
      <w:r w:rsidR="002B1A3F">
        <w:rPr>
          <w:rFonts w:ascii="Avenir Next LT Pro" w:hAnsi="Avenir Next LT Pro"/>
          <w:color w:val="000000" w:themeColor="text1"/>
          <w:lang w:val="en-US"/>
        </w:rPr>
        <w:t xml:space="preserve"> </w:t>
      </w:r>
      <w:r w:rsidR="00E515F2">
        <w:rPr>
          <w:rFonts w:ascii="Avenir Next LT Pro" w:hAnsi="Avenir Next LT Pro"/>
          <w:color w:val="000000" w:themeColor="text1"/>
          <w:lang w:val="en-US"/>
        </w:rPr>
        <w:t>in terms of independence.</w:t>
      </w:r>
    </w:p>
    <w:p w14:paraId="165733E5" w14:textId="52A5958A" w:rsidR="00DC50C3" w:rsidRDefault="00151157" w:rsidP="00787EB6">
      <w:pPr>
        <w:tabs>
          <w:tab w:val="left" w:pos="1380"/>
        </w:tabs>
        <w:rPr>
          <w:rFonts w:ascii="Avenir Next LT Pro" w:hAnsi="Avenir Next LT Pro"/>
          <w:color w:val="000000" w:themeColor="text1"/>
          <w:lang w:val="en-US"/>
        </w:rPr>
      </w:pPr>
      <w:r w:rsidRPr="00151157">
        <w:rPr>
          <w:rFonts w:ascii="Avenir Next LT Pro" w:hAnsi="Avenir Next LT Pro"/>
          <w:color w:val="000000" w:themeColor="text1"/>
          <w:lang w:val="en-US"/>
        </w:rPr>
        <w:t>We appreciate</w:t>
      </w:r>
      <w:r>
        <w:rPr>
          <w:rFonts w:ascii="Avenir Next LT Pro" w:hAnsi="Avenir Next LT Pro"/>
          <w:b/>
          <w:bCs/>
          <w:color w:val="000000" w:themeColor="text1"/>
          <w:lang w:val="en-US"/>
        </w:rPr>
        <w:t xml:space="preserve"> </w:t>
      </w:r>
      <w:r w:rsidR="00DC50C3" w:rsidRPr="00A55597">
        <w:rPr>
          <w:rFonts w:ascii="Avenir Next LT Pro" w:hAnsi="Avenir Next LT Pro"/>
          <w:color w:val="000000" w:themeColor="text1"/>
          <w:lang w:val="en-US"/>
        </w:rPr>
        <w:t xml:space="preserve">that </w:t>
      </w:r>
      <w:r w:rsidR="00DC50C3" w:rsidRPr="00EE702D">
        <w:rPr>
          <w:rFonts w:ascii="Avenir Next LT Pro" w:hAnsi="Avenir Next LT Pro"/>
          <w:b/>
          <w:bCs/>
          <w:color w:val="000000" w:themeColor="text1"/>
          <w:lang w:val="en-US"/>
        </w:rPr>
        <w:t>State-to-State Dispute Settlement (SSDS)</w:t>
      </w:r>
      <w:r w:rsidR="00DC50C3" w:rsidRPr="00A55597">
        <w:rPr>
          <w:rFonts w:ascii="Avenir Next LT Pro" w:hAnsi="Avenir Next LT Pro"/>
          <w:color w:val="000000" w:themeColor="text1"/>
          <w:lang w:val="en-US"/>
        </w:rPr>
        <w:t xml:space="preserve"> </w:t>
      </w:r>
      <w:r w:rsidR="00520CD0" w:rsidRPr="00EE702D">
        <w:rPr>
          <w:rFonts w:ascii="Avenir Next LT Pro" w:hAnsi="Avenir Next LT Pro"/>
          <w:b/>
          <w:bCs/>
          <w:color w:val="000000" w:themeColor="text1"/>
          <w:lang w:val="en-US"/>
        </w:rPr>
        <w:t>can have a certain value</w:t>
      </w:r>
      <w:r w:rsidR="00520CD0">
        <w:rPr>
          <w:rFonts w:ascii="Avenir Next LT Pro" w:hAnsi="Avenir Next LT Pro"/>
          <w:color w:val="000000" w:themeColor="text1"/>
          <w:lang w:val="en-US"/>
        </w:rPr>
        <w:t xml:space="preserve"> </w:t>
      </w:r>
      <w:r w:rsidR="00DC50C3" w:rsidRPr="00A55597">
        <w:rPr>
          <w:rFonts w:ascii="Avenir Next LT Pro" w:hAnsi="Avenir Next LT Pro"/>
          <w:color w:val="000000" w:themeColor="text1"/>
          <w:lang w:val="en-US"/>
        </w:rPr>
        <w:t>as a complementary mechanism</w:t>
      </w:r>
      <w:r w:rsidR="00A62EA9">
        <w:rPr>
          <w:rFonts w:ascii="Avenir Next LT Pro" w:hAnsi="Avenir Next LT Pro"/>
          <w:color w:val="000000" w:themeColor="text1"/>
          <w:lang w:val="en-US"/>
        </w:rPr>
        <w:t xml:space="preserve"> to ISDS, </w:t>
      </w:r>
      <w:r w:rsidR="00DA6A1B">
        <w:rPr>
          <w:rFonts w:ascii="Avenir Next LT Pro" w:hAnsi="Avenir Next LT Pro"/>
          <w:color w:val="000000" w:themeColor="text1"/>
          <w:lang w:val="en-US"/>
        </w:rPr>
        <w:t>but never a</w:t>
      </w:r>
      <w:r w:rsidR="008429E5">
        <w:rPr>
          <w:rFonts w:ascii="Avenir Next LT Pro" w:hAnsi="Avenir Next LT Pro"/>
          <w:color w:val="000000" w:themeColor="text1"/>
          <w:lang w:val="en-US"/>
        </w:rPr>
        <w:t>s a</w:t>
      </w:r>
      <w:r w:rsidR="00DC50C3" w:rsidRPr="00A55597">
        <w:rPr>
          <w:rFonts w:ascii="Avenir Next LT Pro" w:hAnsi="Avenir Next LT Pro"/>
          <w:color w:val="000000" w:themeColor="text1"/>
          <w:lang w:val="en-US"/>
        </w:rPr>
        <w:t xml:space="preserve"> substitute for ISDS.</w:t>
      </w:r>
    </w:p>
    <w:p w14:paraId="54CB6C52" w14:textId="77777777" w:rsidR="00143689" w:rsidRPr="00A55597" w:rsidRDefault="00143689" w:rsidP="00143689">
      <w:pPr>
        <w:tabs>
          <w:tab w:val="left" w:pos="1380"/>
        </w:tabs>
        <w:rPr>
          <w:rFonts w:ascii="Avenir Next LT Pro" w:hAnsi="Avenir Next LT Pro"/>
          <w:color w:val="000000" w:themeColor="text1"/>
          <w:lang w:val="en-US"/>
        </w:rPr>
      </w:pPr>
      <w:r>
        <w:rPr>
          <w:rFonts w:ascii="Avenir Next LT Pro" w:hAnsi="Avenir Next LT Pro"/>
          <w:color w:val="000000" w:themeColor="text1"/>
          <w:lang w:val="en-US"/>
        </w:rPr>
        <w:t xml:space="preserve">This does not mean that we should not </w:t>
      </w:r>
      <w:r w:rsidRPr="000D2586">
        <w:rPr>
          <w:rFonts w:ascii="Avenir Next LT Pro" w:hAnsi="Avenir Next LT Pro"/>
          <w:b/>
          <w:bCs/>
          <w:color w:val="000000" w:themeColor="text1"/>
          <w:lang w:val="en-US"/>
        </w:rPr>
        <w:t>engage in discussions on modernizing ISDS</w:t>
      </w:r>
      <w:r>
        <w:rPr>
          <w:rFonts w:ascii="Avenir Next LT Pro" w:hAnsi="Avenir Next LT Pro"/>
          <w:color w:val="000000" w:themeColor="text1"/>
          <w:lang w:val="en-US"/>
        </w:rPr>
        <w:t xml:space="preserve"> and addressing justified points of concern.</w:t>
      </w:r>
    </w:p>
    <w:p w14:paraId="2A6E9376" w14:textId="25B14E8A" w:rsidR="00DC50C3" w:rsidRDefault="00DC50C3" w:rsidP="00787EB6">
      <w:pPr>
        <w:tabs>
          <w:tab w:val="left" w:pos="1380"/>
        </w:tabs>
        <w:rPr>
          <w:rFonts w:ascii="Avenir Next LT Pro" w:hAnsi="Avenir Next LT Pro"/>
          <w:color w:val="000000" w:themeColor="text1"/>
          <w:lang w:val="en-US"/>
        </w:rPr>
      </w:pPr>
      <w:r w:rsidRPr="008E4D9E">
        <w:rPr>
          <w:rFonts w:ascii="Avenir Next LT Pro" w:hAnsi="Avenir Next LT Pro"/>
          <w:b/>
          <w:bCs/>
          <w:color w:val="000000" w:themeColor="text1"/>
          <w:lang w:val="en-US"/>
        </w:rPr>
        <w:t>S</w:t>
      </w:r>
      <w:r w:rsidR="00C15F44">
        <w:rPr>
          <w:rFonts w:ascii="Avenir Next LT Pro" w:hAnsi="Avenir Next LT Pro"/>
          <w:b/>
          <w:bCs/>
          <w:color w:val="000000" w:themeColor="text1"/>
          <w:lang w:val="en-US"/>
        </w:rPr>
        <w:t>tate to State S</w:t>
      </w:r>
      <w:r w:rsidRPr="008E4D9E">
        <w:rPr>
          <w:rFonts w:ascii="Avenir Next LT Pro" w:hAnsi="Avenir Next LT Pro"/>
          <w:b/>
          <w:bCs/>
          <w:color w:val="000000" w:themeColor="text1"/>
          <w:lang w:val="en-US"/>
        </w:rPr>
        <w:t>SDS</w:t>
      </w:r>
      <w:r w:rsidRPr="00A55597">
        <w:rPr>
          <w:rFonts w:ascii="Avenir Next LT Pro" w:hAnsi="Avenir Next LT Pro"/>
          <w:color w:val="000000" w:themeColor="text1"/>
          <w:lang w:val="en-US"/>
        </w:rPr>
        <w:t xml:space="preserve"> </w:t>
      </w:r>
      <w:r w:rsidR="004E1E04">
        <w:rPr>
          <w:rFonts w:ascii="Avenir Next LT Pro" w:hAnsi="Avenir Next LT Pro"/>
          <w:color w:val="000000" w:themeColor="text1"/>
          <w:lang w:val="en-US"/>
        </w:rPr>
        <w:t xml:space="preserve">makes investors </w:t>
      </w:r>
      <w:r w:rsidR="0013300E">
        <w:rPr>
          <w:rFonts w:ascii="Avenir Next LT Pro" w:hAnsi="Avenir Next LT Pro"/>
          <w:color w:val="000000" w:themeColor="text1"/>
          <w:lang w:val="en-US"/>
        </w:rPr>
        <w:t xml:space="preserve">dependent of the </w:t>
      </w:r>
      <w:r w:rsidRPr="001B3BD6">
        <w:rPr>
          <w:rFonts w:ascii="Avenir Next LT Pro" w:hAnsi="Avenir Next LT Pro"/>
          <w:b/>
          <w:bCs/>
          <w:color w:val="000000" w:themeColor="text1"/>
          <w:lang w:val="en-US"/>
        </w:rPr>
        <w:t xml:space="preserve">political </w:t>
      </w:r>
      <w:r w:rsidR="0013300E" w:rsidRPr="001B3BD6">
        <w:rPr>
          <w:rFonts w:ascii="Avenir Next LT Pro" w:hAnsi="Avenir Next LT Pro"/>
          <w:b/>
          <w:bCs/>
          <w:color w:val="000000" w:themeColor="text1"/>
          <w:lang w:val="en-US"/>
        </w:rPr>
        <w:t>wind of the day</w:t>
      </w:r>
      <w:r w:rsidR="0013300E">
        <w:rPr>
          <w:rFonts w:ascii="Avenir Next LT Pro" w:hAnsi="Avenir Next LT Pro"/>
          <w:color w:val="000000" w:themeColor="text1"/>
          <w:lang w:val="en-US"/>
        </w:rPr>
        <w:t xml:space="preserve"> i</w:t>
      </w:r>
      <w:r w:rsidRPr="00A55597">
        <w:rPr>
          <w:rFonts w:ascii="Avenir Next LT Pro" w:hAnsi="Avenir Next LT Pro"/>
          <w:color w:val="000000" w:themeColor="text1"/>
          <w:lang w:val="en-US"/>
        </w:rPr>
        <w:t xml:space="preserve">n their home state to bring a claim; </w:t>
      </w:r>
      <w:r w:rsidR="008E4D9E">
        <w:rPr>
          <w:rFonts w:ascii="Avenir Next LT Pro" w:hAnsi="Avenir Next LT Pro"/>
          <w:color w:val="000000" w:themeColor="text1"/>
          <w:lang w:val="en-US"/>
        </w:rPr>
        <w:br/>
      </w:r>
      <w:r w:rsidR="0069020D">
        <w:rPr>
          <w:rFonts w:ascii="Avenir Next LT Pro" w:hAnsi="Avenir Next LT Pro"/>
          <w:color w:val="000000" w:themeColor="text1"/>
          <w:lang w:val="en-US"/>
        </w:rPr>
        <w:t xml:space="preserve">and their </w:t>
      </w:r>
      <w:r w:rsidR="0069020D" w:rsidRPr="00143689">
        <w:rPr>
          <w:rFonts w:ascii="Avenir Next LT Pro" w:hAnsi="Avenir Next LT Pro"/>
          <w:b/>
          <w:bCs/>
          <w:color w:val="000000" w:themeColor="text1"/>
          <w:lang w:val="en-US"/>
        </w:rPr>
        <w:t xml:space="preserve">claims may </w:t>
      </w:r>
      <w:r w:rsidR="001F7C49" w:rsidRPr="00143689">
        <w:rPr>
          <w:rFonts w:ascii="Avenir Next LT Pro" w:hAnsi="Avenir Next LT Pro"/>
          <w:b/>
          <w:bCs/>
          <w:color w:val="000000" w:themeColor="text1"/>
          <w:lang w:val="en-US"/>
        </w:rPr>
        <w:t>fall off the table</w:t>
      </w:r>
      <w:r w:rsidR="001F7C49">
        <w:rPr>
          <w:rFonts w:ascii="Avenir Next LT Pro" w:hAnsi="Avenir Next LT Pro"/>
          <w:color w:val="000000" w:themeColor="text1"/>
          <w:lang w:val="en-US"/>
        </w:rPr>
        <w:t xml:space="preserve"> </w:t>
      </w:r>
      <w:r w:rsidR="00572040">
        <w:rPr>
          <w:rFonts w:ascii="Avenir Next LT Pro" w:hAnsi="Avenir Next LT Pro"/>
          <w:color w:val="000000" w:themeColor="text1"/>
          <w:lang w:val="en-US"/>
        </w:rPr>
        <w:t>in a diplomatic package deal</w:t>
      </w:r>
      <w:r w:rsidR="009C382F">
        <w:rPr>
          <w:rFonts w:ascii="Avenir Next LT Pro" w:hAnsi="Avenir Next LT Pro"/>
          <w:color w:val="000000" w:themeColor="text1"/>
          <w:lang w:val="en-US"/>
        </w:rPr>
        <w:t>, especially if they are smaller investors.</w:t>
      </w:r>
    </w:p>
    <w:p w14:paraId="4300808D" w14:textId="33B9AECB" w:rsidR="00DC50C3" w:rsidRPr="00A55597" w:rsidRDefault="004502F0" w:rsidP="00787EB6">
      <w:pPr>
        <w:tabs>
          <w:tab w:val="left" w:pos="1380"/>
        </w:tabs>
        <w:rPr>
          <w:rFonts w:ascii="Avenir Next LT Pro" w:hAnsi="Avenir Next LT Pro"/>
          <w:color w:val="000000" w:themeColor="text1"/>
          <w:lang w:val="en-US"/>
        </w:rPr>
      </w:pPr>
      <w:r w:rsidRPr="000D2586">
        <w:rPr>
          <w:rFonts w:ascii="Avenir Next LT Pro" w:hAnsi="Avenir Next LT Pro"/>
          <w:b/>
          <w:bCs/>
          <w:color w:val="000000" w:themeColor="text1"/>
          <w:lang w:val="en-US"/>
        </w:rPr>
        <w:t xml:space="preserve">Furthermore, in sofar as </w:t>
      </w:r>
      <w:r w:rsidR="00DC50C3" w:rsidRPr="000D2586">
        <w:rPr>
          <w:rFonts w:ascii="Avenir Next LT Pro" w:hAnsi="Avenir Next LT Pro"/>
          <w:b/>
          <w:bCs/>
          <w:color w:val="000000" w:themeColor="text1"/>
          <w:lang w:val="en-US"/>
        </w:rPr>
        <w:t xml:space="preserve">SSDS, </w:t>
      </w:r>
      <w:r w:rsidR="00A71F1D" w:rsidRPr="000D2586">
        <w:rPr>
          <w:rFonts w:ascii="Avenir Next LT Pro" w:hAnsi="Avenir Next LT Pro"/>
          <w:b/>
          <w:bCs/>
          <w:color w:val="000000" w:themeColor="text1"/>
          <w:lang w:val="en-US"/>
        </w:rPr>
        <w:t>is considered as a complement to ISDS</w:t>
      </w:r>
      <w:r w:rsidR="00A71F1D">
        <w:rPr>
          <w:rFonts w:ascii="Avenir Next LT Pro" w:hAnsi="Avenir Next LT Pro"/>
          <w:color w:val="000000" w:themeColor="text1"/>
          <w:lang w:val="en-US"/>
        </w:rPr>
        <w:t xml:space="preserve">, </w:t>
      </w:r>
      <w:r w:rsidR="00DC50C3" w:rsidRPr="00A55597">
        <w:rPr>
          <w:rFonts w:ascii="Avenir Next LT Pro" w:hAnsi="Avenir Next LT Pro"/>
          <w:color w:val="000000" w:themeColor="text1"/>
          <w:lang w:val="en-US"/>
        </w:rPr>
        <w:t>it is important to:</w:t>
      </w:r>
    </w:p>
    <w:p w14:paraId="05506E7B" w14:textId="6925DF7A" w:rsidR="00DC50C3" w:rsidRPr="00A55597" w:rsidRDefault="00DC50C3" w:rsidP="00787EB6">
      <w:pPr>
        <w:numPr>
          <w:ilvl w:val="0"/>
          <w:numId w:val="37"/>
        </w:numPr>
        <w:tabs>
          <w:tab w:val="left" w:pos="1380"/>
        </w:tabs>
        <w:rPr>
          <w:rFonts w:ascii="Avenir Next LT Pro" w:hAnsi="Avenir Next LT Pro"/>
          <w:color w:val="000000" w:themeColor="text1"/>
          <w:lang w:val="en-US"/>
        </w:rPr>
      </w:pPr>
      <w:r w:rsidRPr="00A55597">
        <w:rPr>
          <w:rFonts w:ascii="Avenir Next LT Pro" w:hAnsi="Avenir Next LT Pro"/>
          <w:color w:val="000000" w:themeColor="text1"/>
          <w:lang w:val="en-US"/>
        </w:rPr>
        <w:t xml:space="preserve">allow for </w:t>
      </w:r>
      <w:r w:rsidRPr="00C15F44">
        <w:rPr>
          <w:rFonts w:ascii="Avenir Next LT Pro" w:hAnsi="Avenir Next LT Pro"/>
          <w:b/>
          <w:bCs/>
          <w:color w:val="000000" w:themeColor="text1"/>
          <w:lang w:val="en-US"/>
        </w:rPr>
        <w:t>greater investor participation</w:t>
      </w:r>
      <w:r w:rsidRPr="00A55597">
        <w:rPr>
          <w:rFonts w:ascii="Avenir Next LT Pro" w:hAnsi="Avenir Next LT Pro"/>
          <w:color w:val="000000" w:themeColor="text1"/>
          <w:lang w:val="en-US"/>
        </w:rPr>
        <w:t xml:space="preserve"> in proceedings; </w:t>
      </w:r>
    </w:p>
    <w:p w14:paraId="79AB0A98" w14:textId="78F32BBA" w:rsidR="00DC50C3" w:rsidRPr="00A55597" w:rsidRDefault="00DC50C3" w:rsidP="00787EB6">
      <w:pPr>
        <w:numPr>
          <w:ilvl w:val="0"/>
          <w:numId w:val="37"/>
        </w:numPr>
        <w:tabs>
          <w:tab w:val="left" w:pos="1380"/>
        </w:tabs>
        <w:rPr>
          <w:rFonts w:ascii="Avenir Next LT Pro" w:hAnsi="Avenir Next LT Pro"/>
          <w:color w:val="000000" w:themeColor="text1"/>
          <w:lang w:val="en-US"/>
        </w:rPr>
      </w:pPr>
      <w:r w:rsidRPr="00A55597">
        <w:rPr>
          <w:rFonts w:ascii="Avenir Next LT Pro" w:hAnsi="Avenir Next LT Pro"/>
          <w:color w:val="000000" w:themeColor="text1"/>
          <w:lang w:val="en-US"/>
        </w:rPr>
        <w:t>ensur</w:t>
      </w:r>
      <w:r w:rsidR="00E03661">
        <w:rPr>
          <w:rFonts w:ascii="Avenir Next LT Pro" w:hAnsi="Avenir Next LT Pro"/>
          <w:color w:val="000000" w:themeColor="text1"/>
          <w:lang w:val="en-US"/>
        </w:rPr>
        <w:t>e</w:t>
      </w:r>
      <w:r w:rsidRPr="00A55597">
        <w:rPr>
          <w:rFonts w:ascii="Avenir Next LT Pro" w:hAnsi="Avenir Next LT Pro"/>
          <w:color w:val="000000" w:themeColor="text1"/>
          <w:lang w:val="en-US"/>
        </w:rPr>
        <w:t xml:space="preserve"> the possibility of </w:t>
      </w:r>
      <w:r w:rsidRPr="00C15F44">
        <w:rPr>
          <w:rFonts w:ascii="Avenir Next LT Pro" w:hAnsi="Avenir Next LT Pro"/>
          <w:b/>
          <w:bCs/>
          <w:color w:val="000000" w:themeColor="text1"/>
          <w:lang w:val="en-US"/>
        </w:rPr>
        <w:t>full reparation</w:t>
      </w:r>
      <w:r w:rsidRPr="00A55597">
        <w:rPr>
          <w:rFonts w:ascii="Avenir Next LT Pro" w:hAnsi="Avenir Next LT Pro"/>
          <w:color w:val="000000" w:themeColor="text1"/>
          <w:lang w:val="en-US"/>
        </w:rPr>
        <w:t xml:space="preserve"> for damages; </w:t>
      </w:r>
    </w:p>
    <w:p w14:paraId="31C265FA" w14:textId="2B36AFD5" w:rsidR="00DC50C3" w:rsidRPr="00A55597" w:rsidRDefault="00DC50C3" w:rsidP="00787EB6">
      <w:pPr>
        <w:numPr>
          <w:ilvl w:val="0"/>
          <w:numId w:val="37"/>
        </w:numPr>
        <w:tabs>
          <w:tab w:val="left" w:pos="1380"/>
        </w:tabs>
        <w:rPr>
          <w:rFonts w:ascii="Avenir Next LT Pro" w:hAnsi="Avenir Next LT Pro"/>
          <w:color w:val="000000" w:themeColor="text1"/>
          <w:lang w:val="en-US"/>
        </w:rPr>
      </w:pPr>
      <w:r w:rsidRPr="00A55597">
        <w:rPr>
          <w:rFonts w:ascii="Avenir Next LT Pro" w:hAnsi="Avenir Next LT Pro"/>
          <w:color w:val="000000" w:themeColor="text1"/>
          <w:lang w:val="en-US"/>
        </w:rPr>
        <w:t xml:space="preserve">strengthen </w:t>
      </w:r>
      <w:r w:rsidRPr="00C15F44">
        <w:rPr>
          <w:rFonts w:ascii="Avenir Next LT Pro" w:hAnsi="Avenir Next LT Pro"/>
          <w:b/>
          <w:bCs/>
          <w:color w:val="000000" w:themeColor="text1"/>
          <w:lang w:val="en-US"/>
        </w:rPr>
        <w:t>enforcement</w:t>
      </w:r>
      <w:r w:rsidRPr="00A55597">
        <w:rPr>
          <w:rFonts w:ascii="Avenir Next LT Pro" w:hAnsi="Avenir Next LT Pro"/>
          <w:color w:val="000000" w:themeColor="text1"/>
          <w:lang w:val="en-US"/>
        </w:rPr>
        <w:t xml:space="preserve"> mechanisms; </w:t>
      </w:r>
    </w:p>
    <w:p w14:paraId="09CEEBEF" w14:textId="0C5B92BF" w:rsidR="00DC50C3" w:rsidRPr="00A55597" w:rsidRDefault="00DC50C3" w:rsidP="00787EB6">
      <w:pPr>
        <w:numPr>
          <w:ilvl w:val="0"/>
          <w:numId w:val="37"/>
        </w:numPr>
        <w:tabs>
          <w:tab w:val="left" w:pos="1380"/>
        </w:tabs>
        <w:rPr>
          <w:rFonts w:ascii="Avenir Next LT Pro" w:hAnsi="Avenir Next LT Pro"/>
          <w:color w:val="000000" w:themeColor="text1"/>
          <w:lang w:val="en-US"/>
        </w:rPr>
      </w:pPr>
      <w:r w:rsidRPr="00A55597">
        <w:rPr>
          <w:rFonts w:ascii="Avenir Next LT Pro" w:hAnsi="Avenir Next LT Pro"/>
          <w:color w:val="000000" w:themeColor="text1"/>
          <w:lang w:val="en-US"/>
        </w:rPr>
        <w:t>and ensur</w:t>
      </w:r>
      <w:r w:rsidR="00E03661">
        <w:rPr>
          <w:rFonts w:ascii="Avenir Next LT Pro" w:hAnsi="Avenir Next LT Pro"/>
          <w:color w:val="000000" w:themeColor="text1"/>
          <w:lang w:val="en-US"/>
        </w:rPr>
        <w:t>e</w:t>
      </w:r>
      <w:r w:rsidRPr="00A55597">
        <w:rPr>
          <w:rFonts w:ascii="Avenir Next LT Pro" w:hAnsi="Avenir Next LT Pro"/>
          <w:color w:val="000000" w:themeColor="text1"/>
          <w:lang w:val="en-US"/>
        </w:rPr>
        <w:t xml:space="preserve"> </w:t>
      </w:r>
      <w:r w:rsidRPr="00C15F44">
        <w:rPr>
          <w:rFonts w:ascii="Avenir Next LT Pro" w:hAnsi="Avenir Next LT Pro"/>
          <w:b/>
          <w:bCs/>
          <w:color w:val="000000" w:themeColor="text1"/>
          <w:lang w:val="en-US"/>
        </w:rPr>
        <w:t>independence and appropriate expertise</w:t>
      </w:r>
      <w:r w:rsidRPr="00A55597">
        <w:rPr>
          <w:rFonts w:ascii="Avenir Next LT Pro" w:hAnsi="Avenir Next LT Pro"/>
          <w:color w:val="000000" w:themeColor="text1"/>
          <w:lang w:val="en-US"/>
        </w:rPr>
        <w:t xml:space="preserve"> of adjudicators. </w:t>
      </w:r>
    </w:p>
    <w:p w14:paraId="4B6BAFD0" w14:textId="4869BD14" w:rsidR="00DC50C3" w:rsidRPr="00A55597" w:rsidRDefault="00DC50C3" w:rsidP="00787EB6">
      <w:pPr>
        <w:tabs>
          <w:tab w:val="left" w:pos="1380"/>
        </w:tabs>
        <w:rPr>
          <w:rFonts w:ascii="Avenir Next LT Pro" w:hAnsi="Avenir Next LT Pro"/>
          <w:color w:val="000000" w:themeColor="text1"/>
          <w:lang w:val="en-US"/>
        </w:rPr>
      </w:pPr>
      <w:r w:rsidRPr="00A55597">
        <w:rPr>
          <w:rFonts w:ascii="Avenir Next LT Pro" w:hAnsi="Avenir Next LT Pro"/>
          <w:i/>
          <w:iCs/>
          <w:color w:val="000000" w:themeColor="text1"/>
          <w:lang w:val="en-US"/>
        </w:rPr>
        <w:t>Business at OECD</w:t>
      </w:r>
      <w:r w:rsidRPr="00A55597">
        <w:rPr>
          <w:rFonts w:ascii="Avenir Next LT Pro" w:hAnsi="Avenir Next LT Pro"/>
          <w:color w:val="000000" w:themeColor="text1"/>
          <w:lang w:val="en-US"/>
        </w:rPr>
        <w:t xml:space="preserve"> stands ready to </w:t>
      </w:r>
      <w:r w:rsidRPr="000D2586">
        <w:rPr>
          <w:rFonts w:ascii="Avenir Next LT Pro" w:hAnsi="Avenir Next LT Pro"/>
          <w:b/>
          <w:bCs/>
          <w:color w:val="000000" w:themeColor="text1"/>
          <w:lang w:val="en-US"/>
        </w:rPr>
        <w:t>continue engaging constructively</w:t>
      </w:r>
      <w:r w:rsidRPr="00A55597">
        <w:rPr>
          <w:rFonts w:ascii="Avenir Next LT Pro" w:hAnsi="Avenir Next LT Pro"/>
          <w:color w:val="000000" w:themeColor="text1"/>
          <w:lang w:val="en-US"/>
        </w:rPr>
        <w:t xml:space="preserve"> with the OECD and its Members on th</w:t>
      </w:r>
      <w:r w:rsidR="00EC1E06">
        <w:rPr>
          <w:rFonts w:ascii="Avenir Next LT Pro" w:hAnsi="Avenir Next LT Pro"/>
          <w:color w:val="000000" w:themeColor="text1"/>
          <w:lang w:val="en-US"/>
        </w:rPr>
        <w:t>is</w:t>
      </w:r>
      <w:r w:rsidRPr="00A55597">
        <w:rPr>
          <w:rFonts w:ascii="Avenir Next LT Pro" w:hAnsi="Avenir Next LT Pro"/>
          <w:color w:val="000000" w:themeColor="text1"/>
          <w:lang w:val="en-US"/>
        </w:rPr>
        <w:t xml:space="preserve"> important issue.</w:t>
      </w:r>
    </w:p>
    <w:p w14:paraId="6F0D4356" w14:textId="02712F23" w:rsidR="006C0424" w:rsidRDefault="006C0424">
      <w:pPr>
        <w:rPr>
          <w:rFonts w:ascii="Avenir Next LT Pro" w:hAnsi="Avenir Next LT Pro"/>
          <w:i/>
          <w:iCs/>
          <w:lang w:val="en-US"/>
        </w:rPr>
      </w:pPr>
      <w:r>
        <w:rPr>
          <w:rFonts w:ascii="Avenir Next LT Pro" w:hAnsi="Avenir Next LT Pro"/>
          <w:i/>
          <w:iCs/>
          <w:lang w:val="en-US"/>
        </w:rPr>
        <w:br w:type="page"/>
      </w:r>
    </w:p>
    <w:p w14:paraId="47E798F2" w14:textId="651F390C" w:rsidR="002D0F94" w:rsidRPr="002D0F94" w:rsidRDefault="00E729CD" w:rsidP="002D0F94">
      <w:pPr>
        <w:pStyle w:val="ListParagraph"/>
        <w:numPr>
          <w:ilvl w:val="0"/>
          <w:numId w:val="15"/>
        </w:numPr>
        <w:tabs>
          <w:tab w:val="left" w:pos="1380"/>
        </w:tabs>
        <w:jc w:val="both"/>
        <w:rPr>
          <w:rFonts w:ascii="Avenir Next LT Pro" w:hAnsi="Avenir Next LT Pro"/>
          <w:b/>
          <w:bCs/>
        </w:rPr>
      </w:pPr>
      <w:r>
        <w:rPr>
          <w:rFonts w:ascii="Avenir Next LT Pro" w:hAnsi="Avenir Next LT Pro"/>
          <w:b/>
          <w:bCs/>
        </w:rPr>
        <w:t>Then Imwould like to turn to o</w:t>
      </w:r>
      <w:r w:rsidR="002D0F94">
        <w:rPr>
          <w:rFonts w:ascii="Avenir Next LT Pro" w:hAnsi="Avenir Next LT Pro"/>
          <w:b/>
          <w:bCs/>
        </w:rPr>
        <w:t xml:space="preserve">ur appreciation </w:t>
      </w:r>
      <w:r w:rsidR="00453B8F">
        <w:rPr>
          <w:rFonts w:ascii="Avenir Next LT Pro" w:hAnsi="Avenir Next LT Pro"/>
          <w:b/>
          <w:bCs/>
        </w:rPr>
        <w:t>of</w:t>
      </w:r>
      <w:r w:rsidR="002D0F94" w:rsidRPr="002D0F94">
        <w:rPr>
          <w:rFonts w:ascii="Avenir Next LT Pro" w:hAnsi="Avenir Next LT Pro"/>
          <w:b/>
          <w:bCs/>
        </w:rPr>
        <w:t xml:space="preserve"> the Draft OECD Recommendation on the Efficient Use of Investment Incentives  </w:t>
      </w:r>
    </w:p>
    <w:p w14:paraId="61E075F3" w14:textId="0280BD04" w:rsidR="00CD61C0" w:rsidRPr="004048A0" w:rsidRDefault="002D0F94" w:rsidP="00A53099">
      <w:p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4048A0">
        <w:rPr>
          <w:rFonts w:ascii="Avenir Next LT Pro" w:eastAsia="Times New Roman" w:hAnsi="Avenir Next LT Pro" w:cs="Times New Roman"/>
          <w:i/>
          <w:iCs/>
          <w:kern w:val="0"/>
          <w:lang w:val="en-US"/>
          <w14:ligatures w14:val="none"/>
        </w:rPr>
        <w:t>Business at OECD</w:t>
      </w:r>
      <w:r w:rsidRPr="004048A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very much </w:t>
      </w:r>
      <w:r w:rsidRPr="003359C5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welcomes the decision</w:t>
      </w:r>
      <w:r w:rsidRPr="004048A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of the Investment Committee to advance work </w:t>
      </w:r>
      <w:r w:rsidR="00CD61C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on </w:t>
      </w:r>
      <w:r w:rsidR="00CD61C0" w:rsidRPr="004048A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>the Draft Recommendation on the Efficient Use of Investment Incentives.</w:t>
      </w:r>
    </w:p>
    <w:p w14:paraId="74462C54" w14:textId="77777777" w:rsidR="002D0F94" w:rsidRPr="004048A0" w:rsidRDefault="002D0F94" w:rsidP="00A53099">
      <w:p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4048A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Investment incentives are becoming an </w:t>
      </w:r>
      <w:r w:rsidRPr="001B24B0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increasingly central feature</w:t>
      </w:r>
      <w:r w:rsidRPr="004048A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of modern industrial policy and economic security strategies across OECD and partner economies.</w:t>
      </w:r>
    </w:p>
    <w:p w14:paraId="431F9B1C" w14:textId="0A1282F3" w:rsidR="002D0F94" w:rsidRDefault="002D0F94" w:rsidP="00A53099">
      <w:p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4048A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From a business perspective, this </w:t>
      </w:r>
      <w:r w:rsidRPr="001B24B0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raises a number of important considerations</w:t>
      </w:r>
      <w:r w:rsidR="009F29E1" w:rsidRPr="001B24B0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 xml:space="preserve"> and concerns</w:t>
      </w:r>
      <w:r w:rsidRPr="001B24B0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.</w:t>
      </w:r>
    </w:p>
    <w:p w14:paraId="5D5FCB0C" w14:textId="06246B8B" w:rsidR="00D6516C" w:rsidRDefault="00D6516C" w:rsidP="00A53099">
      <w:p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In our view, the draft </w:t>
      </w:r>
      <w:r w:rsidR="00F41D76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Recommendation is a </w:t>
      </w:r>
      <w:r w:rsidR="00F41D76" w:rsidRPr="001B24B0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very thoughtful and equilibrated document</w:t>
      </w:r>
      <w:r w:rsidR="00954781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, which provides a </w:t>
      </w:r>
      <w:r w:rsidR="00954781" w:rsidRPr="00C7058E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 xml:space="preserve">complete overview </w:t>
      </w:r>
      <w:r w:rsidR="00EA3E31" w:rsidRPr="00C7058E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of recommendable policy principles and guidelines</w:t>
      </w:r>
      <w:r w:rsidR="00EA3E31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</w:t>
      </w:r>
      <w:r w:rsidR="00E63CF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to make </w:t>
      </w:r>
      <w:r w:rsidR="00767945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investment incentives work </w:t>
      </w:r>
      <w:r w:rsidR="00F0607F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>in the wider public interest.</w:t>
      </w:r>
    </w:p>
    <w:p w14:paraId="46090817" w14:textId="103C4907" w:rsidR="00CA2996" w:rsidRPr="004048A0" w:rsidRDefault="00CA2996" w:rsidP="00A53099">
      <w:p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I could </w:t>
      </w:r>
      <w:r w:rsidRPr="001B24B0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elaborate here more in detail</w:t>
      </w:r>
      <w:r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what elements we appreciate </w:t>
      </w:r>
      <w:r w:rsidR="00475FC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especially </w:t>
      </w:r>
      <w:r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>in the draft</w:t>
      </w:r>
      <w:r w:rsidR="00C02EB5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, but I might in the end then read the complete text </w:t>
      </w:r>
      <w:r w:rsidR="00475FC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>for you aloud. For the sake of time I will refrain from this.</w:t>
      </w:r>
    </w:p>
    <w:p w14:paraId="058E2718" w14:textId="1764A498" w:rsidR="002D0F94" w:rsidRPr="004048A0" w:rsidRDefault="00A67FF8" w:rsidP="00A53099">
      <w:p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Wisely d</w:t>
      </w:r>
      <w:r w:rsidR="000E1F40" w:rsidRPr="00A67FF8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isciplining the use of investment incentives</w:t>
      </w:r>
      <w:r w:rsidR="000E1F4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</w:t>
      </w:r>
      <w:r w:rsidR="002D0F94" w:rsidRPr="004048A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is all the more important as governments are increasingly using incentives and related tools in a </w:t>
      </w:r>
      <w:r w:rsidR="002D0F94" w:rsidRPr="0072447B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more strategic and combined manner</w:t>
      </w:r>
      <w:r w:rsidR="002D0F94" w:rsidRPr="004048A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>, often linked to broader economic security objectives and industrial strategies.</w:t>
      </w:r>
    </w:p>
    <w:p w14:paraId="458415C1" w14:textId="6F709CA2" w:rsidR="002D0F94" w:rsidRPr="004048A0" w:rsidRDefault="00D54D34" w:rsidP="00A53099">
      <w:p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>Further OECD work on this issue</w:t>
      </w:r>
      <w:r w:rsidR="002D0F94" w:rsidRPr="004048A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</w:t>
      </w:r>
      <w:r w:rsidR="007A6995" w:rsidRPr="0052255F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 xml:space="preserve">should also be linked </w:t>
      </w:r>
      <w:r w:rsidR="002D0F94" w:rsidRPr="0052255F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to broader policy developments</w:t>
      </w:r>
      <w:r w:rsidR="002D0F94" w:rsidRPr="004048A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>.</w:t>
      </w:r>
      <w:r w:rsidR="00DB1418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</w:t>
      </w:r>
      <w:r w:rsidR="002D0F94" w:rsidRPr="004048A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Investment incentives </w:t>
      </w:r>
      <w:r w:rsidR="002D0F94" w:rsidRPr="00693058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cannot be considered in</w:t>
      </w:r>
      <w:r w:rsidR="002D0F94" w:rsidRPr="004048A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</w:t>
      </w:r>
      <w:r w:rsidR="002D0F94" w:rsidRPr="00D54D34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isolation.</w:t>
      </w:r>
      <w:r w:rsidR="002D0F94" w:rsidRPr="004048A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They are closely interconnected with:</w:t>
      </w:r>
    </w:p>
    <w:p w14:paraId="7743794F" w14:textId="77777777" w:rsidR="002D0F94" w:rsidRPr="004048A0" w:rsidRDefault="002D0F94" w:rsidP="00A5309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52255F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trade measures,</w:t>
      </w:r>
      <w:r w:rsidRPr="004048A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including localisation requirements and export controls; </w:t>
      </w:r>
    </w:p>
    <w:p w14:paraId="7291B0A0" w14:textId="77777777" w:rsidR="002D0F94" w:rsidRPr="004048A0" w:rsidRDefault="002D0F94" w:rsidP="00A5309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4048A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investment </w:t>
      </w:r>
      <w:r w:rsidRPr="0052255F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screening</w:t>
      </w:r>
      <w:r w:rsidRPr="004048A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mechanisms; </w:t>
      </w:r>
    </w:p>
    <w:p w14:paraId="5A31DDBD" w14:textId="77777777" w:rsidR="002D0F94" w:rsidRPr="004048A0" w:rsidRDefault="002D0F94" w:rsidP="00A5309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4048A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and </w:t>
      </w:r>
      <w:r w:rsidRPr="0052255F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broader industrial policy</w:t>
      </w:r>
      <w:r w:rsidRPr="004048A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strategies. </w:t>
      </w:r>
    </w:p>
    <w:p w14:paraId="46147FFD" w14:textId="77777777" w:rsidR="002D0F94" w:rsidRPr="004048A0" w:rsidRDefault="002D0F94" w:rsidP="00A53099">
      <w:p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4048A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This makes it </w:t>
      </w:r>
      <w:r w:rsidRPr="0052255F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even more important for the OECD to play a role</w:t>
      </w:r>
      <w:r w:rsidRPr="004048A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in ensuring overall policy coherence.</w:t>
      </w:r>
    </w:p>
    <w:p w14:paraId="6FA63710" w14:textId="01B4FB0C" w:rsidR="002D0F94" w:rsidRPr="004048A0" w:rsidRDefault="00C53204" w:rsidP="00A53099">
      <w:p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In order to </w:t>
      </w:r>
      <w:r w:rsidR="00F41F6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>finalise this work with the best result it will be important to</w:t>
      </w:r>
    </w:p>
    <w:p w14:paraId="569B637D" w14:textId="612412C9" w:rsidR="002D0F94" w:rsidRPr="004048A0" w:rsidRDefault="002D0F94" w:rsidP="00A5309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0E5020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engag</w:t>
      </w:r>
      <w:r w:rsidR="008841D5" w:rsidRPr="000E5020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e</w:t>
      </w:r>
      <w:r w:rsidRPr="000E5020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 xml:space="preserve"> closely with business</w:t>
      </w:r>
      <w:r w:rsidRPr="004048A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</w:t>
      </w:r>
      <w:r w:rsidR="008841D5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>in the further process</w:t>
      </w:r>
      <w:r w:rsidRPr="004048A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</w:t>
      </w:r>
    </w:p>
    <w:p w14:paraId="224483DC" w14:textId="10195A9A" w:rsidR="002D0F94" w:rsidRPr="004048A0" w:rsidRDefault="002D0F94" w:rsidP="00A5309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4048A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>and ensur</w:t>
      </w:r>
      <w:r w:rsidR="00BF4724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>e</w:t>
      </w:r>
      <w:r w:rsidRPr="004048A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that the resulting guidance remains </w:t>
      </w:r>
      <w:r w:rsidRPr="000E5020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practical and implementable</w:t>
      </w:r>
      <w:r w:rsidRPr="004048A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. </w:t>
      </w:r>
    </w:p>
    <w:p w14:paraId="39835368" w14:textId="5B82DFAB" w:rsidR="002D0F94" w:rsidRPr="00422215" w:rsidRDefault="00693058" w:rsidP="00A53099">
      <w:p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Here too, w</w:t>
      </w:r>
      <w:r w:rsidR="002D0F94" w:rsidRPr="000E5020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e stand ready</w:t>
      </w:r>
      <w:r w:rsidR="002D0F94" w:rsidRPr="004048A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to contribute constructively to this process.</w:t>
      </w:r>
    </w:p>
    <w:p w14:paraId="1FAE55D0" w14:textId="77777777" w:rsidR="00B73D9B" w:rsidRDefault="00B73D9B">
      <w:pPr>
        <w:rPr>
          <w:rFonts w:ascii="Avenir Next LT Pro" w:hAnsi="Avenir Next LT Pro"/>
          <w:i/>
          <w:iCs/>
          <w:lang w:val="en-US"/>
        </w:rPr>
      </w:pPr>
      <w:r>
        <w:rPr>
          <w:rFonts w:ascii="Avenir Next LT Pro" w:hAnsi="Avenir Next LT Pro"/>
          <w:i/>
          <w:iCs/>
          <w:lang w:val="en-US"/>
        </w:rPr>
        <w:br w:type="page"/>
      </w:r>
    </w:p>
    <w:p w14:paraId="55BA5313" w14:textId="16ABB86A" w:rsidR="000820DE" w:rsidRPr="00BF4724" w:rsidRDefault="004773B1" w:rsidP="000820DE">
      <w:pPr>
        <w:pStyle w:val="ListParagraph"/>
        <w:numPr>
          <w:ilvl w:val="0"/>
          <w:numId w:val="15"/>
        </w:numPr>
        <w:tabs>
          <w:tab w:val="left" w:pos="1380"/>
        </w:tabs>
        <w:jc w:val="both"/>
        <w:rPr>
          <w:rFonts w:ascii="Avenir Next LT Pro" w:hAnsi="Avenir Next LT Pro"/>
          <w:b/>
          <w:bCs/>
        </w:rPr>
      </w:pPr>
      <w:r>
        <w:rPr>
          <w:rFonts w:ascii="Avenir Next LT Pro" w:hAnsi="Avenir Next LT Pro"/>
          <w:b/>
          <w:bCs/>
        </w:rPr>
        <w:t>Our side-event at t</w:t>
      </w:r>
      <w:r w:rsidR="000820DE" w:rsidRPr="00BF4724">
        <w:rPr>
          <w:rFonts w:ascii="Avenir Next LT Pro" w:hAnsi="Avenir Next LT Pro"/>
          <w:b/>
          <w:bCs/>
        </w:rPr>
        <w:t xml:space="preserve">he 2026 MCM </w:t>
      </w:r>
    </w:p>
    <w:p w14:paraId="74C665E0" w14:textId="51BD8641" w:rsidR="000820DE" w:rsidRPr="000820DE" w:rsidRDefault="000820DE" w:rsidP="00963232">
      <w:p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0820DE">
        <w:rPr>
          <w:rFonts w:ascii="Avenir Next LT Pro" w:eastAsia="Times New Roman" w:hAnsi="Avenir Next LT Pro" w:cs="Times New Roman"/>
          <w:i/>
          <w:iCs/>
          <w:kern w:val="0"/>
          <w:lang w:val="en-US"/>
          <w14:ligatures w14:val="none"/>
        </w:rPr>
        <w:t>Business at OECD</w:t>
      </w:r>
      <w:r w:rsidR="00582AC5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will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in </w:t>
      </w:r>
      <w:r w:rsidRPr="00582AC5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close cooperation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with the OECD Investment Committee and the Finnish Ministry for Foreign Affairs, </w:t>
      </w:r>
      <w:r w:rsidRPr="000E5020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organise a side event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</w:t>
      </w:r>
      <w:r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on 2 June 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>at the 2026 MCM entitled:</w:t>
      </w:r>
      <w:r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</w:t>
      </w:r>
      <w:r w:rsidR="00963232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br/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>“</w:t>
      </w:r>
      <w:r w:rsidRPr="00582AC5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Ensuring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OECD Investment Standards and Policies </w:t>
      </w:r>
      <w:r w:rsidRPr="00582AC5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Remain Fit for Purpose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>: A Business Perspective for the Next Decade.”</w:t>
      </w:r>
    </w:p>
    <w:p w14:paraId="68B8F033" w14:textId="1840B047" w:rsidR="000820DE" w:rsidRPr="000820DE" w:rsidRDefault="00DC3B8F" w:rsidP="00963232">
      <w:p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DC3B8F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T</w:t>
      </w:r>
      <w:r w:rsidR="000820DE" w:rsidRPr="00DC3B8F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he objective</w:t>
      </w:r>
      <w:r w:rsidR="000820DE"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is to provide</w:t>
      </w:r>
      <w:r w:rsidR="00577A2A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>,</w:t>
      </w:r>
      <w:r w:rsidR="000820DE"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</w:t>
      </w:r>
      <w:r w:rsidR="00577A2A" w:rsidRPr="00577A2A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on the occasion</w:t>
      </w:r>
      <w:r w:rsidR="00577A2A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of the 50</w:t>
      </w:r>
      <w:r w:rsidR="00577A2A" w:rsidRPr="00577A2A">
        <w:rPr>
          <w:rFonts w:ascii="Avenir Next LT Pro" w:eastAsia="Times New Roman" w:hAnsi="Avenir Next LT Pro" w:cs="Times New Roman"/>
          <w:kern w:val="0"/>
          <w:vertAlign w:val="superscript"/>
          <w:lang w:val="en-US"/>
          <w14:ligatures w14:val="none"/>
        </w:rPr>
        <w:t>th</w:t>
      </w:r>
      <w:r w:rsidR="00577A2A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anniversary of the OECD Investment Declaration, </w:t>
      </w:r>
      <w:r w:rsidR="000820DE"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a high-level platform for dialogue between business leaders and policymakers on </w:t>
      </w:r>
      <w:r w:rsidR="000820DE" w:rsidRPr="003802A9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 xml:space="preserve">how OECD investment instruments can </w:t>
      </w:r>
      <w:r w:rsidR="003802A9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prov</w:t>
      </w:r>
      <w:r w:rsidR="0046086E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id</w:t>
      </w:r>
      <w:r w:rsidR="003802A9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e the greatest value</w:t>
      </w:r>
      <w:r w:rsidR="000820DE"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in a rapidly evolving global environment.</w:t>
      </w:r>
    </w:p>
    <w:p w14:paraId="512900DA" w14:textId="2F5A612A" w:rsidR="000820DE" w:rsidRPr="000820DE" w:rsidRDefault="000820DE" w:rsidP="00963232">
      <w:p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We are currently witnessing a </w:t>
      </w:r>
      <w:r w:rsidRPr="001F3420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profound transformation of the global economic landscape</w:t>
      </w:r>
      <w:r w:rsidR="00A67078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 xml:space="preserve"> with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>:</w:t>
      </w:r>
    </w:p>
    <w:p w14:paraId="2D128230" w14:textId="77777777" w:rsidR="000820DE" w:rsidRPr="000820DE" w:rsidRDefault="000820DE" w:rsidP="0096323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the </w:t>
      </w:r>
      <w:r w:rsidRPr="001F3420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rise of industrial policies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across jurisdictions; </w:t>
      </w:r>
    </w:p>
    <w:p w14:paraId="3A1940DB" w14:textId="77777777" w:rsidR="000820DE" w:rsidRPr="000820DE" w:rsidRDefault="000820DE" w:rsidP="0096323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the </w:t>
      </w:r>
      <w:r w:rsidRPr="001F3420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increasing use of investment incentives, trade measures and screening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mechanisms; </w:t>
      </w:r>
    </w:p>
    <w:p w14:paraId="28972BFF" w14:textId="7EB4A223" w:rsidR="000820DE" w:rsidRPr="000820DE" w:rsidRDefault="000820DE" w:rsidP="0096323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and a stronger focus on </w:t>
      </w:r>
      <w:r w:rsidRPr="001F3420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economic security and resilience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. </w:t>
      </w:r>
    </w:p>
    <w:p w14:paraId="448FF512" w14:textId="38C7A3E9" w:rsidR="000820DE" w:rsidRPr="000820DE" w:rsidRDefault="000820DE" w:rsidP="00963232">
      <w:p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These developments are now </w:t>
      </w:r>
      <w:r w:rsidRPr="001F3420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 xml:space="preserve">increasingly structured and </w:t>
      </w:r>
      <w:r w:rsidR="00E244F0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systematized</w:t>
      </w:r>
      <w:r w:rsidR="00E244F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>.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</w:t>
      </w:r>
      <w:r w:rsidR="00E244F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br/>
        <w:t>F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or instance the </w:t>
      </w:r>
      <w:r w:rsidRPr="00E51223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recent EU Communication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on economic security</w:t>
      </w:r>
      <w:r w:rsidR="00E244F0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>points to a more proactive, strategic and coordinated use of policy tools across trade, investment and industrial domains.</w:t>
      </w:r>
    </w:p>
    <w:p w14:paraId="61B9922C" w14:textId="77777777" w:rsidR="000820DE" w:rsidRPr="000820DE" w:rsidRDefault="000820DE" w:rsidP="00963232">
      <w:p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From a business perspective, this creates </w:t>
      </w:r>
      <w:r w:rsidRPr="00E244F0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 xml:space="preserve">growing uncertainty, fragmentation and complexity 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>for cross-border investment.</w:t>
      </w:r>
    </w:p>
    <w:p w14:paraId="27298BA3" w14:textId="737841B0" w:rsidR="000820DE" w:rsidRPr="000820DE" w:rsidRDefault="000820DE" w:rsidP="00963232">
      <w:p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In this context, </w:t>
      </w:r>
      <w:r w:rsidRPr="00827EFD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OECD instruments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</w:t>
      </w:r>
      <w:r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>(</w:t>
      </w:r>
      <w:r w:rsidRPr="00E51223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notably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the Investment Declaration, the Policy Framework for Investment, and the FDI Qualities framework</w:t>
      </w:r>
      <w:r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>)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are </w:t>
      </w:r>
      <w:r w:rsidRPr="00827EFD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more important than ever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as anchors of predictability, transparency and international cooperation.</w:t>
      </w:r>
    </w:p>
    <w:p w14:paraId="7FDEA408" w14:textId="7D709A36" w:rsidR="000820DE" w:rsidRPr="000820DE" w:rsidRDefault="000820DE" w:rsidP="00963232">
      <w:p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The </w:t>
      </w:r>
      <w:r w:rsidRPr="00827EFD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main objective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of our side event will be to:</w:t>
      </w:r>
    </w:p>
    <w:p w14:paraId="1B47D379" w14:textId="77777777" w:rsidR="000820DE" w:rsidRPr="000820DE" w:rsidRDefault="000820DE" w:rsidP="0096323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827EFD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identify business priorities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to ensure that these instruments remain fit for purpose; </w:t>
      </w:r>
    </w:p>
    <w:p w14:paraId="2D889982" w14:textId="77777777" w:rsidR="000820DE" w:rsidRPr="000820DE" w:rsidRDefault="000820DE" w:rsidP="0096323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assess where </w:t>
      </w:r>
      <w:r w:rsidRPr="00827EFD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further guidance or updates may be needed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, including on economic security-related policies; </w:t>
      </w:r>
    </w:p>
    <w:p w14:paraId="6C75CDD1" w14:textId="77777777" w:rsidR="000820DE" w:rsidRPr="000820DE" w:rsidRDefault="000820DE" w:rsidP="0096323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and </w:t>
      </w:r>
      <w:r w:rsidRPr="00827EFD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contribute concrete, forward-looking messages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to inform OECD work in the years ahead. </w:t>
      </w:r>
    </w:p>
    <w:p w14:paraId="4FF1C86C" w14:textId="490401A7" w:rsidR="00266012" w:rsidRDefault="000820DE" w:rsidP="001642E1">
      <w:p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In particular, we see a </w:t>
      </w:r>
      <w:r w:rsidRPr="00827EFD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strong need to ensure that openness can be preserved while addressing security concerns,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as these two dimensions are now increasingly intertwined in policymaking.</w:t>
      </w:r>
    </w:p>
    <w:p w14:paraId="39C03A70" w14:textId="77777777" w:rsidR="00266012" w:rsidRDefault="00266012">
      <w:pPr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br w:type="page"/>
      </w:r>
    </w:p>
    <w:p w14:paraId="55C6B063" w14:textId="07A16C0D" w:rsidR="009325D2" w:rsidRPr="00520302" w:rsidRDefault="000820DE" w:rsidP="00610AFA">
      <w:pPr>
        <w:pStyle w:val="ListParagraph"/>
        <w:numPr>
          <w:ilvl w:val="0"/>
          <w:numId w:val="15"/>
        </w:numPr>
        <w:tabs>
          <w:tab w:val="left" w:pos="1380"/>
        </w:tabs>
        <w:jc w:val="both"/>
        <w:rPr>
          <w:rFonts w:ascii="Avenir Next LT Pro" w:hAnsi="Avenir Next LT Pro"/>
          <w:b/>
          <w:bCs/>
        </w:rPr>
      </w:pPr>
      <w:r w:rsidRPr="00520302">
        <w:rPr>
          <w:rFonts w:ascii="Avenir Next LT Pro" w:hAnsi="Avenir Next LT Pro"/>
          <w:b/>
          <w:bCs/>
          <w:i/>
          <w:iCs/>
        </w:rPr>
        <w:t>Business at OECD</w:t>
      </w:r>
      <w:r w:rsidRPr="00520302">
        <w:rPr>
          <w:rFonts w:ascii="Avenir Next LT Pro" w:hAnsi="Avenir Next LT Pro"/>
          <w:b/>
          <w:bCs/>
        </w:rPr>
        <w:t xml:space="preserve"> deliverable for the 23-25 November Investment Committee Conference</w:t>
      </w:r>
    </w:p>
    <w:p w14:paraId="22329D75" w14:textId="4A918822" w:rsidR="000820DE" w:rsidRPr="000820DE" w:rsidRDefault="000820DE" w:rsidP="000820DE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Let me now turn to the </w:t>
      </w:r>
      <w:r w:rsidRPr="00CB72D1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High-Level Investment Committee Conference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in November.</w:t>
      </w:r>
    </w:p>
    <w:p w14:paraId="0ACF5159" w14:textId="77777777" w:rsidR="000820DE" w:rsidRPr="000820DE" w:rsidRDefault="000820DE" w:rsidP="000820DE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0820DE">
        <w:rPr>
          <w:rFonts w:ascii="Avenir Next LT Pro" w:eastAsia="Times New Roman" w:hAnsi="Avenir Next LT Pro" w:cs="Times New Roman"/>
          <w:i/>
          <w:iCs/>
          <w:kern w:val="0"/>
          <w:lang w:val="en-US"/>
          <w14:ligatures w14:val="none"/>
        </w:rPr>
        <w:t>Business at OECD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is currently preparing a </w:t>
      </w:r>
      <w:r w:rsidRPr="003359C5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dedicated paper on economic security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from a business perspective.</w:t>
      </w:r>
    </w:p>
    <w:p w14:paraId="4E706D84" w14:textId="77777777" w:rsidR="000820DE" w:rsidRPr="000820DE" w:rsidRDefault="000820DE" w:rsidP="000820DE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>This paper will:</w:t>
      </w:r>
    </w:p>
    <w:p w14:paraId="4A2644E8" w14:textId="77777777" w:rsidR="000820DE" w:rsidRPr="000820DE" w:rsidRDefault="000820DE" w:rsidP="000820DE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provide an </w:t>
      </w:r>
      <w:r w:rsidRPr="00616AAD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overview of the current state of play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, including </w:t>
      </w:r>
      <w:r w:rsidRPr="00CB72D1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how companies are navigating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the increasing use of security-related measures affecting trade and investment; </w:t>
      </w:r>
    </w:p>
    <w:p w14:paraId="392E5DF6" w14:textId="77777777" w:rsidR="000820DE" w:rsidRPr="000820DE" w:rsidRDefault="000820DE" w:rsidP="000820DE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616AAD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highlight the practical implications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</w:t>
      </w:r>
      <w:r w:rsidRPr="00E17837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for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global value chains, investment decisions and competitiveness; </w:t>
      </w:r>
    </w:p>
    <w:p w14:paraId="42D76C80" w14:textId="77777777" w:rsidR="000820DE" w:rsidRPr="000820DE" w:rsidRDefault="000820DE" w:rsidP="000820DE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and </w:t>
      </w:r>
      <w:r w:rsidRPr="00616AAD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put forward concrete recommendations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on the role of the OECD in this area. </w:t>
      </w:r>
    </w:p>
    <w:p w14:paraId="5D6A44F0" w14:textId="77777777" w:rsidR="000820DE" w:rsidRPr="000820DE" w:rsidRDefault="000820DE" w:rsidP="000820DE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>In particular, we intend to focus on:</w:t>
      </w:r>
    </w:p>
    <w:p w14:paraId="50E38E3E" w14:textId="77777777" w:rsidR="000820DE" w:rsidRPr="000820DE" w:rsidRDefault="000820DE" w:rsidP="000820DE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the need for </w:t>
      </w:r>
      <w:r w:rsidRPr="00EF683E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clear, transparent and proportionate frameworks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governing economic security measures; </w:t>
      </w:r>
    </w:p>
    <w:p w14:paraId="44D4BF4F" w14:textId="77777777" w:rsidR="000820DE" w:rsidRPr="000820DE" w:rsidRDefault="000820DE" w:rsidP="000820DE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the importance of </w:t>
      </w:r>
      <w:r w:rsidRPr="00EF683E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international coordination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to avoid fragmentation; </w:t>
      </w:r>
    </w:p>
    <w:p w14:paraId="30BC0AEC" w14:textId="77777777" w:rsidR="000820DE" w:rsidRPr="000820DE" w:rsidRDefault="000820DE" w:rsidP="000820DE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and </w:t>
      </w:r>
      <w:r w:rsidRPr="00EF683E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the role of the OECD as a platform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to facilitate dialogue and develop common approaches. </w:t>
      </w:r>
    </w:p>
    <w:p w14:paraId="38FBD5AE" w14:textId="5189A5FA" w:rsidR="000820DE" w:rsidRPr="000820DE" w:rsidRDefault="000820DE" w:rsidP="000820DE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We will also reflect the </w:t>
      </w:r>
      <w:r w:rsidRPr="00EF683E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increasing role of governments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in </w:t>
      </w:r>
      <w:r w:rsidRPr="00E17837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proactively shaping economic outcomes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— including through incentives, screening and strategic industrial policies — and </w:t>
      </w:r>
      <w:r w:rsidRPr="00FE7346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assess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how these measures can be implemented in a way that preserves openness and avoids unnecessary economic costs.</w:t>
      </w:r>
    </w:p>
    <w:p w14:paraId="304134CD" w14:textId="19C2642C" w:rsidR="000820DE" w:rsidRPr="000820DE" w:rsidRDefault="000820DE" w:rsidP="000820DE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Another key aspect will be the </w:t>
      </w:r>
      <w:r w:rsidRPr="00E83154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importance of structured dialogue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with business, as policymakers increasingly recognise the need to involve companies in assessing risks, supply chain vulnerabilities and policy impacts.</w:t>
      </w:r>
    </w:p>
    <w:p w14:paraId="33750495" w14:textId="28B1584A" w:rsidR="00FA2B83" w:rsidRPr="000820DE" w:rsidRDefault="000820DE" w:rsidP="000820DE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kern w:val="0"/>
          <w:lang w:val="en-US"/>
          <w14:ligatures w14:val="none"/>
        </w:rPr>
      </w:pP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We see this deliverable as a way to bring a </w:t>
      </w:r>
      <w:r w:rsidRPr="00E83154">
        <w:rPr>
          <w:rFonts w:ascii="Avenir Next LT Pro" w:eastAsia="Times New Roman" w:hAnsi="Avenir Next LT Pro" w:cs="Times New Roman"/>
          <w:b/>
          <w:bCs/>
          <w:kern w:val="0"/>
          <w:lang w:val="en-US"/>
          <w14:ligatures w14:val="none"/>
        </w:rPr>
        <w:t>strong, evidence-based business voice</w:t>
      </w:r>
      <w:r w:rsidRPr="000820DE">
        <w:rPr>
          <w:rFonts w:ascii="Avenir Next LT Pro" w:eastAsia="Times New Roman" w:hAnsi="Avenir Next LT Pro" w:cs="Times New Roman"/>
          <w:kern w:val="0"/>
          <w:lang w:val="en-US"/>
          <w14:ligatures w14:val="none"/>
        </w:rPr>
        <w:t xml:space="preserve"> into the discussions at the November Conference and beyond.</w:t>
      </w:r>
    </w:p>
    <w:p w14:paraId="1E395294" w14:textId="77777777" w:rsidR="00A55597" w:rsidRPr="00A55597" w:rsidRDefault="00A55597" w:rsidP="00A55597">
      <w:pPr>
        <w:tabs>
          <w:tab w:val="left" w:pos="1380"/>
        </w:tabs>
        <w:jc w:val="both"/>
        <w:rPr>
          <w:rFonts w:ascii="Avenir Next LT Pro" w:hAnsi="Avenir Next LT Pro"/>
          <w:color w:val="000000" w:themeColor="text1"/>
          <w:lang w:val="en-US"/>
        </w:rPr>
      </w:pPr>
    </w:p>
    <w:p w14:paraId="21678B26" w14:textId="77777777" w:rsidR="0034498A" w:rsidRPr="00610AFA" w:rsidRDefault="0034498A" w:rsidP="00610AFA">
      <w:pPr>
        <w:tabs>
          <w:tab w:val="left" w:pos="1380"/>
        </w:tabs>
        <w:jc w:val="both"/>
        <w:rPr>
          <w:rFonts w:ascii="Avenir Next LT Pro" w:eastAsia="Calibri" w:hAnsi="Avenir Next LT Pro" w:cs="Times New Roman"/>
        </w:rPr>
      </w:pPr>
    </w:p>
    <w:p w14:paraId="0E9DD996" w14:textId="77777777" w:rsidR="0034498A" w:rsidRPr="00610AFA" w:rsidRDefault="0034498A" w:rsidP="00610AFA">
      <w:pPr>
        <w:tabs>
          <w:tab w:val="left" w:pos="1380"/>
        </w:tabs>
        <w:jc w:val="both"/>
        <w:rPr>
          <w:rFonts w:ascii="Avenir Next LT Pro" w:eastAsia="Calibri" w:hAnsi="Avenir Next LT Pro" w:cs="Times New Roman"/>
          <w:lang w:val="en-US"/>
        </w:rPr>
      </w:pPr>
    </w:p>
    <w:p w14:paraId="4F7CCC6C" w14:textId="7511B2ED" w:rsidR="004A7102" w:rsidRPr="00610AFA" w:rsidRDefault="004A7102" w:rsidP="00610AFA">
      <w:pPr>
        <w:tabs>
          <w:tab w:val="left" w:pos="1380"/>
        </w:tabs>
        <w:jc w:val="both"/>
        <w:rPr>
          <w:rFonts w:ascii="Avenir Next LT Pro" w:hAnsi="Avenir Next LT Pro"/>
        </w:rPr>
      </w:pPr>
    </w:p>
    <w:sectPr w:rsidR="004A7102" w:rsidRPr="00610AFA">
      <w:footerReference w:type="even" r:id="rId12"/>
      <w:footerReference w:type="defaul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F47A4" w14:textId="77777777" w:rsidR="00FC6E43" w:rsidRDefault="00FC6E43" w:rsidP="00A05CBD">
      <w:pPr>
        <w:spacing w:after="0" w:line="240" w:lineRule="auto"/>
      </w:pPr>
      <w:r>
        <w:separator/>
      </w:r>
    </w:p>
  </w:endnote>
  <w:endnote w:type="continuationSeparator" w:id="0">
    <w:p w14:paraId="72422509" w14:textId="77777777" w:rsidR="00FC6E43" w:rsidRDefault="00FC6E43" w:rsidP="00A05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36703" w14:textId="738B5C92" w:rsidR="009B647E" w:rsidRDefault="009B647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46B39C3" wp14:editId="497D3A2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08150" cy="357505"/>
              <wp:effectExtent l="0" t="0" r="6350" b="0"/>
              <wp:wrapNone/>
              <wp:docPr id="143231482" name="Text Box 2" descr="Restricted Use - À usage 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0815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7D22FC" w14:textId="06B3E495" w:rsidR="009B647E" w:rsidRPr="009B647E" w:rsidRDefault="009B647E" w:rsidP="009B647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9B647E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Restricted Use - À usage 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6B39C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Restricted Use - À usage restreint" style="position:absolute;margin-left:0;margin-top:0;width:134.5pt;height:28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" filled="f" stroked="f">
              <v:textbox style="mso-fit-shape-to-text:t" inset="0,0,0,15pt">
                <w:txbxContent>
                  <w:p w14:paraId="277D22FC" w14:textId="06B3E495" w:rsidR="009B647E" w:rsidRPr="009B647E" w:rsidRDefault="009B647E" w:rsidP="009B647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9B647E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Restricted Use - À usage 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DA3F3" w14:textId="194A926F" w:rsidR="001646A6" w:rsidRDefault="009B647E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CE06CB0" wp14:editId="361E4A2E">
              <wp:simplePos x="914400" y="99060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08150" cy="357505"/>
              <wp:effectExtent l="0" t="0" r="6350" b="0"/>
              <wp:wrapNone/>
              <wp:docPr id="1964612122" name="Text Box 3" descr="Restricted Use - À usage 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0815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A4257B" w14:textId="463EB387" w:rsidR="009B647E" w:rsidRPr="009B647E" w:rsidRDefault="009B647E" w:rsidP="009B647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9B647E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Restricted Use - À usage 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E06CB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Restricted Use - À usage restreint" style="position:absolute;left:0;text-align:left;margin-left:0;margin-top:0;width:134.5pt;height:28.1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" filled="f" stroked="f">
              <v:textbox style="mso-fit-shape-to-text:t" inset="0,0,0,15pt">
                <w:txbxContent>
                  <w:p w14:paraId="3AA4257B" w14:textId="463EB387" w:rsidR="009B647E" w:rsidRPr="009B647E" w:rsidRDefault="009B647E" w:rsidP="009B647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9B647E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Restricted Use - À usage 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96992507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1646A6">
          <w:fldChar w:fldCharType="begin"/>
        </w:r>
        <w:r w:rsidR="001646A6">
          <w:instrText xml:space="preserve"> PAGE   \* MERGEFORMAT </w:instrText>
        </w:r>
        <w:r w:rsidR="001646A6">
          <w:fldChar w:fldCharType="separate"/>
        </w:r>
        <w:r w:rsidR="001646A6">
          <w:rPr>
            <w:noProof/>
          </w:rPr>
          <w:t>2</w:t>
        </w:r>
        <w:r w:rsidR="001646A6">
          <w:rPr>
            <w:noProof/>
          </w:rPr>
          <w:fldChar w:fldCharType="end"/>
        </w:r>
      </w:sdtContent>
    </w:sdt>
  </w:p>
  <w:p w14:paraId="47C20156" w14:textId="77777777" w:rsidR="001646A6" w:rsidRDefault="001646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C98FD" w14:textId="708D1576" w:rsidR="009B647E" w:rsidRDefault="009B647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F7D4055" wp14:editId="4F3A2A1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08150" cy="357505"/>
              <wp:effectExtent l="0" t="0" r="6350" b="0"/>
              <wp:wrapNone/>
              <wp:docPr id="968294959" name="Text Box 1" descr="Restricted Use - À usage 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0815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B35B21" w14:textId="4DBBF9FF" w:rsidR="009B647E" w:rsidRPr="009B647E" w:rsidRDefault="009B647E" w:rsidP="009B647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9B647E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Restricted Use - À usage 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7D405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Restricted Use - À usage restreint" style="position:absolute;margin-left:0;margin-top:0;width:134.5pt;height:28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" filled="f" stroked="f">
              <v:textbox style="mso-fit-shape-to-text:t" inset="0,0,0,15pt">
                <w:txbxContent>
                  <w:p w14:paraId="7AB35B21" w14:textId="4DBBF9FF" w:rsidR="009B647E" w:rsidRPr="009B647E" w:rsidRDefault="009B647E" w:rsidP="009B647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9B647E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Restricted Use - À usage 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80BE7" w14:textId="77777777" w:rsidR="00FC6E43" w:rsidRDefault="00FC6E43" w:rsidP="00A05CBD">
      <w:pPr>
        <w:spacing w:after="0" w:line="240" w:lineRule="auto"/>
      </w:pPr>
      <w:r>
        <w:separator/>
      </w:r>
    </w:p>
  </w:footnote>
  <w:footnote w:type="continuationSeparator" w:id="0">
    <w:p w14:paraId="6BE7A73F" w14:textId="77777777" w:rsidR="00FC6E43" w:rsidRDefault="00FC6E43" w:rsidP="00A05C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67E10"/>
    <w:multiLevelType w:val="hybridMultilevel"/>
    <w:tmpl w:val="AF26D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5103F"/>
    <w:multiLevelType w:val="multilevel"/>
    <w:tmpl w:val="008C3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A7EB3"/>
    <w:multiLevelType w:val="hybridMultilevel"/>
    <w:tmpl w:val="0B52C6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D2A80"/>
    <w:multiLevelType w:val="hybridMultilevel"/>
    <w:tmpl w:val="75D28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36834"/>
    <w:multiLevelType w:val="hybridMultilevel"/>
    <w:tmpl w:val="E5023D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E500A"/>
    <w:multiLevelType w:val="hybridMultilevel"/>
    <w:tmpl w:val="4AB69CB4"/>
    <w:lvl w:ilvl="0" w:tplc="4D1695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679C4"/>
    <w:multiLevelType w:val="multilevel"/>
    <w:tmpl w:val="6BDA0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F439D5"/>
    <w:multiLevelType w:val="hybridMultilevel"/>
    <w:tmpl w:val="B4CA2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987317"/>
    <w:multiLevelType w:val="hybridMultilevel"/>
    <w:tmpl w:val="DACA1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C22F55"/>
    <w:multiLevelType w:val="hybridMultilevel"/>
    <w:tmpl w:val="1286179C"/>
    <w:lvl w:ilvl="0" w:tplc="935A5F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C221B7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A560FEC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FE68D9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6C0208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4116752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350B86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6E8E56C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E5F815E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51721B"/>
    <w:multiLevelType w:val="hybridMultilevel"/>
    <w:tmpl w:val="8F1E09D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104561E"/>
    <w:multiLevelType w:val="hybridMultilevel"/>
    <w:tmpl w:val="ED4C2D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31A43BE"/>
    <w:multiLevelType w:val="multilevel"/>
    <w:tmpl w:val="20887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500D63"/>
    <w:multiLevelType w:val="hybridMultilevel"/>
    <w:tmpl w:val="F0D84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7A0181"/>
    <w:multiLevelType w:val="multilevel"/>
    <w:tmpl w:val="9CA63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D06206"/>
    <w:multiLevelType w:val="hybridMultilevel"/>
    <w:tmpl w:val="BC383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65200"/>
    <w:multiLevelType w:val="hybridMultilevel"/>
    <w:tmpl w:val="6002AF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7E55FF"/>
    <w:multiLevelType w:val="hybridMultilevel"/>
    <w:tmpl w:val="99CCD5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8144DA"/>
    <w:multiLevelType w:val="hybridMultilevel"/>
    <w:tmpl w:val="3852F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BB2098"/>
    <w:multiLevelType w:val="multilevel"/>
    <w:tmpl w:val="4448F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890EE1"/>
    <w:multiLevelType w:val="hybridMultilevel"/>
    <w:tmpl w:val="6002AF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967468"/>
    <w:multiLevelType w:val="hybridMultilevel"/>
    <w:tmpl w:val="4ED22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D35E93"/>
    <w:multiLevelType w:val="hybridMultilevel"/>
    <w:tmpl w:val="14BCF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440E72"/>
    <w:multiLevelType w:val="hybridMultilevel"/>
    <w:tmpl w:val="0C9E5D7E"/>
    <w:lvl w:ilvl="0" w:tplc="C2860812">
      <w:start w:val="3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D72430"/>
    <w:multiLevelType w:val="multilevel"/>
    <w:tmpl w:val="DA523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731C1C"/>
    <w:multiLevelType w:val="multilevel"/>
    <w:tmpl w:val="2EAC0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F1671E"/>
    <w:multiLevelType w:val="hybridMultilevel"/>
    <w:tmpl w:val="F98C2FCA"/>
    <w:lvl w:ilvl="0" w:tplc="C0CE1CC4">
      <w:numFmt w:val="bullet"/>
      <w:lvlText w:val="-"/>
      <w:lvlJc w:val="left"/>
      <w:pPr>
        <w:ind w:left="720" w:hanging="360"/>
      </w:pPr>
      <w:rPr>
        <w:rFonts w:ascii="Avenir Next LT Pro" w:eastAsiaTheme="minorHAnsi" w:hAnsi="Avenir Next LT Pro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507F8E"/>
    <w:multiLevelType w:val="multilevel"/>
    <w:tmpl w:val="62D4D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574918"/>
    <w:multiLevelType w:val="hybridMultilevel"/>
    <w:tmpl w:val="CA0E3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F65980"/>
    <w:multiLevelType w:val="hybridMultilevel"/>
    <w:tmpl w:val="AA4C9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59217F"/>
    <w:multiLevelType w:val="multilevel"/>
    <w:tmpl w:val="77509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3A2C5D"/>
    <w:multiLevelType w:val="multilevel"/>
    <w:tmpl w:val="440C0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CEC72D9"/>
    <w:multiLevelType w:val="hybridMultilevel"/>
    <w:tmpl w:val="0F9EA3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D972ED"/>
    <w:multiLevelType w:val="multilevel"/>
    <w:tmpl w:val="A3D0E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7C04A4"/>
    <w:multiLevelType w:val="multilevel"/>
    <w:tmpl w:val="905A7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20D37CF"/>
    <w:multiLevelType w:val="hybridMultilevel"/>
    <w:tmpl w:val="78B0736C"/>
    <w:lvl w:ilvl="0" w:tplc="53485C3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1D1065"/>
    <w:multiLevelType w:val="hybridMultilevel"/>
    <w:tmpl w:val="6002AF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213255">
    <w:abstractNumId w:val="9"/>
  </w:num>
  <w:num w:numId="2" w16cid:durableId="787698668">
    <w:abstractNumId w:val="17"/>
  </w:num>
  <w:num w:numId="3" w16cid:durableId="324864463">
    <w:abstractNumId w:val="0"/>
  </w:num>
  <w:num w:numId="4" w16cid:durableId="1963145215">
    <w:abstractNumId w:val="23"/>
  </w:num>
  <w:num w:numId="5" w16cid:durableId="1070929918">
    <w:abstractNumId w:val="2"/>
  </w:num>
  <w:num w:numId="6" w16cid:durableId="520120230">
    <w:abstractNumId w:val="35"/>
  </w:num>
  <w:num w:numId="7" w16cid:durableId="1096634250">
    <w:abstractNumId w:val="5"/>
  </w:num>
  <w:num w:numId="8" w16cid:durableId="110444339">
    <w:abstractNumId w:val="0"/>
  </w:num>
  <w:num w:numId="9" w16cid:durableId="1321084264">
    <w:abstractNumId w:val="22"/>
  </w:num>
  <w:num w:numId="10" w16cid:durableId="739206369">
    <w:abstractNumId w:val="13"/>
  </w:num>
  <w:num w:numId="11" w16cid:durableId="224996705">
    <w:abstractNumId w:val="21"/>
  </w:num>
  <w:num w:numId="12" w16cid:durableId="28922432">
    <w:abstractNumId w:val="11"/>
  </w:num>
  <w:num w:numId="13" w16cid:durableId="1320186934">
    <w:abstractNumId w:val="7"/>
  </w:num>
  <w:num w:numId="14" w16cid:durableId="1518538830">
    <w:abstractNumId w:val="15"/>
  </w:num>
  <w:num w:numId="15" w16cid:durableId="297614631">
    <w:abstractNumId w:val="20"/>
  </w:num>
  <w:num w:numId="16" w16cid:durableId="1174413234">
    <w:abstractNumId w:val="8"/>
  </w:num>
  <w:num w:numId="17" w16cid:durableId="86648346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35653118">
    <w:abstractNumId w:val="29"/>
  </w:num>
  <w:num w:numId="19" w16cid:durableId="1982925067">
    <w:abstractNumId w:val="4"/>
  </w:num>
  <w:num w:numId="20" w16cid:durableId="811337001">
    <w:abstractNumId w:val="36"/>
  </w:num>
  <w:num w:numId="21" w16cid:durableId="461272803">
    <w:abstractNumId w:val="16"/>
  </w:num>
  <w:num w:numId="22" w16cid:durableId="1318269696">
    <w:abstractNumId w:val="18"/>
  </w:num>
  <w:num w:numId="23" w16cid:durableId="2095347693">
    <w:abstractNumId w:val="10"/>
  </w:num>
  <w:num w:numId="24" w16cid:durableId="1710648800">
    <w:abstractNumId w:val="3"/>
  </w:num>
  <w:num w:numId="25" w16cid:durableId="1815827941">
    <w:abstractNumId w:val="28"/>
  </w:num>
  <w:num w:numId="26" w16cid:durableId="1028530680">
    <w:abstractNumId w:val="33"/>
  </w:num>
  <w:num w:numId="27" w16cid:durableId="1968269099">
    <w:abstractNumId w:val="27"/>
  </w:num>
  <w:num w:numId="28" w16cid:durableId="105202663">
    <w:abstractNumId w:val="24"/>
  </w:num>
  <w:num w:numId="29" w16cid:durableId="162429572">
    <w:abstractNumId w:val="19"/>
  </w:num>
  <w:num w:numId="30" w16cid:durableId="1183595262">
    <w:abstractNumId w:val="34"/>
  </w:num>
  <w:num w:numId="31" w16cid:durableId="1553620184">
    <w:abstractNumId w:val="30"/>
  </w:num>
  <w:num w:numId="32" w16cid:durableId="1465393895">
    <w:abstractNumId w:val="6"/>
  </w:num>
  <w:num w:numId="33" w16cid:durableId="851602645">
    <w:abstractNumId w:val="14"/>
  </w:num>
  <w:num w:numId="34" w16cid:durableId="1409880509">
    <w:abstractNumId w:val="1"/>
  </w:num>
  <w:num w:numId="35" w16cid:durableId="1286037627">
    <w:abstractNumId w:val="31"/>
  </w:num>
  <w:num w:numId="36" w16cid:durableId="1578977496">
    <w:abstractNumId w:val="12"/>
  </w:num>
  <w:num w:numId="37" w16cid:durableId="856965899">
    <w:abstractNumId w:val="25"/>
  </w:num>
  <w:num w:numId="38" w16cid:durableId="119769762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608"/>
    <w:rsid w:val="00000412"/>
    <w:rsid w:val="00006AA9"/>
    <w:rsid w:val="00026123"/>
    <w:rsid w:val="00043CDB"/>
    <w:rsid w:val="00074E42"/>
    <w:rsid w:val="000820DE"/>
    <w:rsid w:val="00097C5B"/>
    <w:rsid w:val="000D0DB0"/>
    <w:rsid w:val="000D2586"/>
    <w:rsid w:val="000D4EB2"/>
    <w:rsid w:val="000E1F40"/>
    <w:rsid w:val="000E5020"/>
    <w:rsid w:val="000F6CEC"/>
    <w:rsid w:val="001179B9"/>
    <w:rsid w:val="001270BA"/>
    <w:rsid w:val="0013300E"/>
    <w:rsid w:val="00141B1B"/>
    <w:rsid w:val="00143689"/>
    <w:rsid w:val="00151157"/>
    <w:rsid w:val="0015313F"/>
    <w:rsid w:val="00154A5D"/>
    <w:rsid w:val="00162B20"/>
    <w:rsid w:val="001642E1"/>
    <w:rsid w:val="001646A6"/>
    <w:rsid w:val="0016494F"/>
    <w:rsid w:val="001759B7"/>
    <w:rsid w:val="001B24B0"/>
    <w:rsid w:val="001B3BD6"/>
    <w:rsid w:val="001C0219"/>
    <w:rsid w:val="001D4570"/>
    <w:rsid w:val="001F31EA"/>
    <w:rsid w:val="001F3420"/>
    <w:rsid w:val="001F4A80"/>
    <w:rsid w:val="001F7C49"/>
    <w:rsid w:val="00200BAF"/>
    <w:rsid w:val="0020244B"/>
    <w:rsid w:val="002069C5"/>
    <w:rsid w:val="0021230F"/>
    <w:rsid w:val="00246C5E"/>
    <w:rsid w:val="00266012"/>
    <w:rsid w:val="0029230B"/>
    <w:rsid w:val="002A7D43"/>
    <w:rsid w:val="002B1A3F"/>
    <w:rsid w:val="002B5554"/>
    <w:rsid w:val="002B5837"/>
    <w:rsid w:val="002B6CDB"/>
    <w:rsid w:val="002C765A"/>
    <w:rsid w:val="002D0F94"/>
    <w:rsid w:val="002D7E53"/>
    <w:rsid w:val="002E03EA"/>
    <w:rsid w:val="002F0CCD"/>
    <w:rsid w:val="0033521A"/>
    <w:rsid w:val="003359C5"/>
    <w:rsid w:val="0034498A"/>
    <w:rsid w:val="00347C4F"/>
    <w:rsid w:val="003802A9"/>
    <w:rsid w:val="003A39E6"/>
    <w:rsid w:val="003C5921"/>
    <w:rsid w:val="004048A0"/>
    <w:rsid w:val="00422215"/>
    <w:rsid w:val="00444988"/>
    <w:rsid w:val="004502F0"/>
    <w:rsid w:val="00453B8F"/>
    <w:rsid w:val="00456D48"/>
    <w:rsid w:val="0046086E"/>
    <w:rsid w:val="00475FC0"/>
    <w:rsid w:val="004773B1"/>
    <w:rsid w:val="00485121"/>
    <w:rsid w:val="00487DC4"/>
    <w:rsid w:val="00494A60"/>
    <w:rsid w:val="004A001D"/>
    <w:rsid w:val="004A7102"/>
    <w:rsid w:val="004B62D7"/>
    <w:rsid w:val="004B7801"/>
    <w:rsid w:val="004E1E04"/>
    <w:rsid w:val="005021A7"/>
    <w:rsid w:val="00503CA9"/>
    <w:rsid w:val="005150A1"/>
    <w:rsid w:val="00520302"/>
    <w:rsid w:val="00520CD0"/>
    <w:rsid w:val="0052255F"/>
    <w:rsid w:val="00543BDF"/>
    <w:rsid w:val="005622A9"/>
    <w:rsid w:val="00572040"/>
    <w:rsid w:val="00577A2A"/>
    <w:rsid w:val="00582AC5"/>
    <w:rsid w:val="005A3AF8"/>
    <w:rsid w:val="005B32C3"/>
    <w:rsid w:val="00600120"/>
    <w:rsid w:val="00610AFA"/>
    <w:rsid w:val="00616AAD"/>
    <w:rsid w:val="006874EA"/>
    <w:rsid w:val="0069020D"/>
    <w:rsid w:val="00693058"/>
    <w:rsid w:val="006A6D71"/>
    <w:rsid w:val="006B0C09"/>
    <w:rsid w:val="006C0424"/>
    <w:rsid w:val="006D2146"/>
    <w:rsid w:val="00721B0D"/>
    <w:rsid w:val="0072447B"/>
    <w:rsid w:val="00724EBC"/>
    <w:rsid w:val="00731818"/>
    <w:rsid w:val="007521C1"/>
    <w:rsid w:val="00767945"/>
    <w:rsid w:val="00772D9F"/>
    <w:rsid w:val="00775F9D"/>
    <w:rsid w:val="00787EB6"/>
    <w:rsid w:val="0079347F"/>
    <w:rsid w:val="00795DEC"/>
    <w:rsid w:val="007A3D9C"/>
    <w:rsid w:val="007A5F1B"/>
    <w:rsid w:val="007A6995"/>
    <w:rsid w:val="007C1B95"/>
    <w:rsid w:val="007E0E42"/>
    <w:rsid w:val="008149AE"/>
    <w:rsid w:val="00827EFD"/>
    <w:rsid w:val="008429E5"/>
    <w:rsid w:val="00875E4D"/>
    <w:rsid w:val="0088142B"/>
    <w:rsid w:val="008841D5"/>
    <w:rsid w:val="008A139F"/>
    <w:rsid w:val="008E4D9E"/>
    <w:rsid w:val="0091004C"/>
    <w:rsid w:val="009115DD"/>
    <w:rsid w:val="009325D2"/>
    <w:rsid w:val="00932859"/>
    <w:rsid w:val="0093380F"/>
    <w:rsid w:val="00954781"/>
    <w:rsid w:val="00963232"/>
    <w:rsid w:val="009665B4"/>
    <w:rsid w:val="00973DAD"/>
    <w:rsid w:val="009B647E"/>
    <w:rsid w:val="009C382F"/>
    <w:rsid w:val="009D1720"/>
    <w:rsid w:val="009D34E2"/>
    <w:rsid w:val="009D5BD2"/>
    <w:rsid w:val="009F1608"/>
    <w:rsid w:val="009F29E1"/>
    <w:rsid w:val="00A05CBD"/>
    <w:rsid w:val="00A374A7"/>
    <w:rsid w:val="00A472EF"/>
    <w:rsid w:val="00A53099"/>
    <w:rsid w:val="00A55597"/>
    <w:rsid w:val="00A57A8B"/>
    <w:rsid w:val="00A62EA9"/>
    <w:rsid w:val="00A664CE"/>
    <w:rsid w:val="00A67078"/>
    <w:rsid w:val="00A67FF8"/>
    <w:rsid w:val="00A71F1D"/>
    <w:rsid w:val="00A7544C"/>
    <w:rsid w:val="00A81270"/>
    <w:rsid w:val="00A82F66"/>
    <w:rsid w:val="00AB2619"/>
    <w:rsid w:val="00AB4A13"/>
    <w:rsid w:val="00AE14DB"/>
    <w:rsid w:val="00AF38D4"/>
    <w:rsid w:val="00B114BF"/>
    <w:rsid w:val="00B442F4"/>
    <w:rsid w:val="00B606E8"/>
    <w:rsid w:val="00B6252C"/>
    <w:rsid w:val="00B73D9B"/>
    <w:rsid w:val="00B80BA3"/>
    <w:rsid w:val="00B83623"/>
    <w:rsid w:val="00B87F85"/>
    <w:rsid w:val="00BB337C"/>
    <w:rsid w:val="00BE3436"/>
    <w:rsid w:val="00BF1A62"/>
    <w:rsid w:val="00BF4724"/>
    <w:rsid w:val="00C02EB5"/>
    <w:rsid w:val="00C15F44"/>
    <w:rsid w:val="00C26C42"/>
    <w:rsid w:val="00C30D76"/>
    <w:rsid w:val="00C40FBC"/>
    <w:rsid w:val="00C53204"/>
    <w:rsid w:val="00C7058E"/>
    <w:rsid w:val="00C85D03"/>
    <w:rsid w:val="00CA2996"/>
    <w:rsid w:val="00CB72D1"/>
    <w:rsid w:val="00CC3ED5"/>
    <w:rsid w:val="00CD5446"/>
    <w:rsid w:val="00CD61C0"/>
    <w:rsid w:val="00CE7731"/>
    <w:rsid w:val="00CF6306"/>
    <w:rsid w:val="00D04CA4"/>
    <w:rsid w:val="00D30501"/>
    <w:rsid w:val="00D460B4"/>
    <w:rsid w:val="00D54D34"/>
    <w:rsid w:val="00D61D97"/>
    <w:rsid w:val="00D6516C"/>
    <w:rsid w:val="00D70C64"/>
    <w:rsid w:val="00D97B7F"/>
    <w:rsid w:val="00DA6A1B"/>
    <w:rsid w:val="00DB1418"/>
    <w:rsid w:val="00DC3B8F"/>
    <w:rsid w:val="00DC50C3"/>
    <w:rsid w:val="00DD5E15"/>
    <w:rsid w:val="00DE445B"/>
    <w:rsid w:val="00DF6220"/>
    <w:rsid w:val="00E03661"/>
    <w:rsid w:val="00E11759"/>
    <w:rsid w:val="00E17837"/>
    <w:rsid w:val="00E244F0"/>
    <w:rsid w:val="00E3288A"/>
    <w:rsid w:val="00E51223"/>
    <w:rsid w:val="00E515F2"/>
    <w:rsid w:val="00E63CF0"/>
    <w:rsid w:val="00E729CD"/>
    <w:rsid w:val="00E83154"/>
    <w:rsid w:val="00EA3E31"/>
    <w:rsid w:val="00EB0DDA"/>
    <w:rsid w:val="00EC1E06"/>
    <w:rsid w:val="00ED2A3E"/>
    <w:rsid w:val="00EE1F79"/>
    <w:rsid w:val="00EE702D"/>
    <w:rsid w:val="00EE7870"/>
    <w:rsid w:val="00EF683E"/>
    <w:rsid w:val="00F013CD"/>
    <w:rsid w:val="00F02271"/>
    <w:rsid w:val="00F0607F"/>
    <w:rsid w:val="00F229AF"/>
    <w:rsid w:val="00F22B49"/>
    <w:rsid w:val="00F41D76"/>
    <w:rsid w:val="00F41F6E"/>
    <w:rsid w:val="00F43E39"/>
    <w:rsid w:val="00F60A53"/>
    <w:rsid w:val="00F72193"/>
    <w:rsid w:val="00F9229F"/>
    <w:rsid w:val="00FA14DA"/>
    <w:rsid w:val="00FA2B83"/>
    <w:rsid w:val="00FA2DCD"/>
    <w:rsid w:val="00FA4547"/>
    <w:rsid w:val="00FB7D1E"/>
    <w:rsid w:val="00FC6E43"/>
    <w:rsid w:val="00FE0A80"/>
    <w:rsid w:val="00FE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20FE5"/>
  <w15:chartTrackingRefBased/>
  <w15:docId w15:val="{D099A088-CA7B-4EF0-9D2E-3418E8EB8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16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16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60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16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160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16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16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16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16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160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16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60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160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160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16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16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16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16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16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1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16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16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16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16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16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160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60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60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1608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05CBD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A05CB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val="en-US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05CBD"/>
    <w:rPr>
      <w:rFonts w:ascii="Times New Roman" w:eastAsia="Arial Unicode MS" w:hAnsi="Times New Roman" w:cs="Times New Roman"/>
      <w:kern w:val="0"/>
      <w:sz w:val="20"/>
      <w:szCs w:val="20"/>
      <w:bdr w:val="nil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05CBD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4A710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646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46A6"/>
  </w:style>
  <w:style w:type="paragraph" w:styleId="Footer">
    <w:name w:val="footer"/>
    <w:basedOn w:val="Normal"/>
    <w:link w:val="FooterChar"/>
    <w:uiPriority w:val="99"/>
    <w:unhideWhenUsed/>
    <w:rsid w:val="001646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46A6"/>
  </w:style>
  <w:style w:type="paragraph" w:styleId="NoSpacing">
    <w:name w:val="No Spacing"/>
    <w:uiPriority w:val="1"/>
    <w:qFormat/>
    <w:rsid w:val="009325D2"/>
    <w:pPr>
      <w:spacing w:after="0" w:line="240" w:lineRule="auto"/>
    </w:pPr>
    <w:rPr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47865A2B88CC4F8CBDEEF038B7D18E" ma:contentTypeVersion="17" ma:contentTypeDescription="Create a new document." ma:contentTypeScope="" ma:versionID="356e8ce987708d58ab0929c6159df874">
  <xsd:schema xmlns:xsd="http://www.w3.org/2001/XMLSchema" xmlns:xs="http://www.w3.org/2001/XMLSchema" xmlns:p="http://schemas.microsoft.com/office/2006/metadata/properties" xmlns:ns2="ff23f61c-bc2f-4a60-9637-5b38918169bd" xmlns:ns3="55e92df0-3fbf-48e7-8cb6-5126b316d47e" targetNamespace="http://schemas.microsoft.com/office/2006/metadata/properties" ma:root="true" ma:fieldsID="0101c3c9b11d013241163ddcd5068435" ns2:_="" ns3:_="">
    <xsd:import namespace="ff23f61c-bc2f-4a60-9637-5b38918169bd"/>
    <xsd:import namespace="55e92df0-3fbf-48e7-8cb6-5126b316d4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Tag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f61c-bc2f-4a60-9637-5b38918169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Tag" ma:index="12" nillable="true" ma:displayName="Tags" ma:format="Dropdown" ma:internalName="Tag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Special project"/>
                        <xsd:enumeration value="Final policy paper"/>
                        <xsd:enumeration value="Expert group"/>
                        <xsd:enumeration value="Committee"/>
                        <xsd:enumeration value="Working party"/>
                        <xsd:enumeration value="Communication"/>
                        <xsd:enumeration value="Interventions"/>
                        <xsd:enumeration value="Comments"/>
                        <xsd:enumeration value="Templat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b2addfa-c26d-4e3b-b240-f6c3bd3828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92df0-3fbf-48e7-8cb6-5126b316d4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6fa0c65-b102-4bd0-8c9b-8d2ee614e05c}" ma:internalName="TaxCatchAll" ma:showField="CatchAllData" ma:web="55e92df0-3fbf-48e7-8cb6-5126b316d4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e92df0-3fbf-48e7-8cb6-5126b316d47e" xsi:nil="true"/>
    <Tag xmlns="ff23f61c-bc2f-4a60-9637-5b38918169bd" xsi:nil="true"/>
    <lcf76f155ced4ddcb4097134ff3c332f xmlns="ff23f61c-bc2f-4a60-9637-5b38918169b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B83F821-97EA-4A9F-B2B2-599E54D39C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A884F6-96AB-45C1-B3A1-D5E5E587AC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3f61c-bc2f-4a60-9637-5b38918169bd"/>
    <ds:schemaRef ds:uri="55e92df0-3fbf-48e7-8cb6-5126b316d4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FA5322-BB90-422E-B52F-C8A22C65A1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54C721-8B40-4363-B470-0E67685CD521}">
  <ds:schemaRefs>
    <ds:schemaRef ds:uri="http://schemas.microsoft.com/office/2006/metadata/properties"/>
    <ds:schemaRef ds:uri="http://schemas.microsoft.com/office/infopath/2007/PartnerControls"/>
    <ds:schemaRef ds:uri="55e92df0-3fbf-48e7-8cb6-5126b316d47e"/>
    <ds:schemaRef ds:uri="ff23f61c-bc2f-4a60-9637-5b38918169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1250</Words>
  <Characters>7130</Characters>
  <Application>Microsoft Office Word</Application>
  <DocSecurity>4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OECD</Company>
  <LinksUpToDate>false</LinksUpToDate>
  <CharactersWithSpaces>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MUNCH Nathan, BIAC</dc:creator>
  <cp:keywords/>
  <dc:description/>
  <cp:lastModifiedBy>MUNCH Nathan, BIAC</cp:lastModifiedBy>
  <cp:revision>2</cp:revision>
  <dcterms:created xsi:type="dcterms:W3CDTF">2026-10-26T15:51:00Z</dcterms:created>
  <dcterms:modified xsi:type="dcterms:W3CDTF">2026-10-26T15:51:00Z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0x0101008E47865A2B88CC4F8CBDEEF038B7D18E</vt:lpwstr>
  </property>
  <property fmtid="{D5CDD505-2E9C-101B-9397-08002B2CF9AE}" pid="3" name="ClassificationContentMarkingFooterShapeIds">
    <vt:lpwstr>39b7022f,88989fa,75199a1a</vt:lpwstr>
  </property>
  <property fmtid="{D5CDD505-2E9C-101B-9397-08002B2CF9AE}" pid="4" name="ClassificationContentMarkingFooterFontProps">
    <vt:lpwstr>#0000ff,10,Calibri</vt:lpwstr>
  </property>
  <property fmtid="{D5CDD505-2E9C-101B-9397-08002B2CF9AE}" pid="5" name="ClassificationContentMarkingFooterText">
    <vt:lpwstr>Restricted Use - À usage restreint</vt:lpwstr>
  </property>
  <property fmtid="{D5CDD505-2E9C-101B-9397-08002B2CF9AE}" pid="6" name="MSIP_Label_0e5510b0-e729-4ef0-a3dd-4ba0dfe56c99_Enabled">
    <vt:lpwstr>true</vt:lpwstr>
  </property>
  <property fmtid="{D5CDD505-2E9C-101B-9397-08002B2CF9AE}" pid="7" name="MSIP_Label_0e5510b0-e729-4ef0-a3dd-4ba0dfe56c99_SetDate">
    <vt:lpwstr>2026-03-24T13:33:57Z</vt:lpwstr>
  </property>
  <property fmtid="{D5CDD505-2E9C-101B-9397-08002B2CF9AE}" pid="8" name="MSIP_Label_0e5510b0-e729-4ef0-a3dd-4ba0dfe56c99_Method">
    <vt:lpwstr>Standard</vt:lpwstr>
  </property>
  <property fmtid="{D5CDD505-2E9C-101B-9397-08002B2CF9AE}" pid="9" name="MSIP_Label_0e5510b0-e729-4ef0-a3dd-4ba0dfe56c99_Name">
    <vt:lpwstr>Restricted Use</vt:lpwstr>
  </property>
  <property fmtid="{D5CDD505-2E9C-101B-9397-08002B2CF9AE}" pid="10" name="MSIP_Label_0e5510b0-e729-4ef0-a3dd-4ba0dfe56c99_SiteId">
    <vt:lpwstr>ac41c7d4-1f61-460d-b0f4-fc925a2b471c</vt:lpwstr>
  </property>
  <property fmtid="{D5CDD505-2E9C-101B-9397-08002B2CF9AE}" pid="11" name="MSIP_Label_0e5510b0-e729-4ef0-a3dd-4ba0dfe56c99_ActionId">
    <vt:lpwstr>123c53ca-c735-44a6-b569-7352e90d104a</vt:lpwstr>
  </property>
  <property fmtid="{D5CDD505-2E9C-101B-9397-08002B2CF9AE}" pid="12" name="MSIP_Label_0e5510b0-e729-4ef0-a3dd-4ba0dfe56c99_ContentBits">
    <vt:lpwstr>2</vt:lpwstr>
  </property>
  <property fmtid="{D5CDD505-2E9C-101B-9397-08002B2CF9AE}" pid="13" name="MSIP_Label_0e5510b0-e729-4ef0-a3dd-4ba0dfe56c99_Tag">
    <vt:lpwstr>10, 3, 0, 1</vt:lpwstr>
  </property>
</Properties>
</file>