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0F738" w14:textId="4EA8C69A" w:rsidR="00F56C48" w:rsidRPr="003521B5" w:rsidRDefault="00DC0A22">
      <w:pPr>
        <w:jc w:val="center"/>
        <w:rPr>
          <w:rFonts w:ascii="Avenir Next LT Pro" w:hAnsi="Avenir Next LT Pro"/>
          <w:sz w:val="22"/>
        </w:rPr>
      </w:pPr>
      <w:r w:rsidRPr="00F841BF">
        <w:rPr>
          <w:rFonts w:ascii="Avenir Next LT Pro" w:hAnsi="Avenir Next LT Pro"/>
          <w:b/>
          <w:i/>
          <w:iCs/>
          <w:color w:val="2E2E77"/>
          <w:sz w:val="22"/>
        </w:rPr>
        <w:t>Business at OECD</w:t>
      </w:r>
      <w:r w:rsidRPr="003521B5">
        <w:rPr>
          <w:rFonts w:ascii="Avenir Next LT Pro" w:hAnsi="Avenir Next LT Pro"/>
          <w:b/>
          <w:color w:val="2E2E77"/>
          <w:sz w:val="22"/>
        </w:rPr>
        <w:t xml:space="preserve"> </w:t>
      </w:r>
      <w:r w:rsidR="003521B5" w:rsidRPr="003521B5">
        <w:rPr>
          <w:rFonts w:ascii="Avenir Next LT Pro" w:hAnsi="Avenir Next LT Pro"/>
          <w:b/>
          <w:color w:val="2E2E77"/>
          <w:sz w:val="22"/>
        </w:rPr>
        <w:t xml:space="preserve">Comments on the </w:t>
      </w:r>
      <w:r w:rsidR="00DA096C">
        <w:rPr>
          <w:rFonts w:ascii="Avenir Next LT Pro" w:hAnsi="Avenir Next LT Pro"/>
          <w:b/>
          <w:color w:val="2E2E77"/>
          <w:sz w:val="22"/>
        </w:rPr>
        <w:t>OECD Draft Report “</w:t>
      </w:r>
      <w:proofErr w:type="spellStart"/>
      <w:r w:rsidR="00DA096C">
        <w:rPr>
          <w:rFonts w:ascii="Avenir Next LT Pro" w:hAnsi="Avenir Next LT Pro"/>
          <w:b/>
          <w:color w:val="2E2E77"/>
          <w:sz w:val="22"/>
        </w:rPr>
        <w:t>Mobilising</w:t>
      </w:r>
      <w:proofErr w:type="spellEnd"/>
      <w:r w:rsidR="00DA096C">
        <w:rPr>
          <w:rFonts w:ascii="Avenir Next LT Pro" w:hAnsi="Avenir Next LT Pro"/>
          <w:b/>
          <w:color w:val="2E2E77"/>
          <w:sz w:val="22"/>
        </w:rPr>
        <w:t xml:space="preserve"> Private Sector Finance for Climate Mitigation and Adaptation”</w:t>
      </w:r>
    </w:p>
    <w:p w14:paraId="7FA1929D" w14:textId="5E87CF32" w:rsidR="003521B5" w:rsidRPr="003521B5" w:rsidRDefault="003521B5">
      <w:pPr>
        <w:jc w:val="center"/>
        <w:rPr>
          <w:rFonts w:ascii="Avenir Next LT Pro" w:eastAsia="Times New Roman" w:hAnsi="Avenir Next LT Pro" w:cs="Times New Roman"/>
          <w:b/>
          <w:bCs/>
          <w:sz w:val="22"/>
        </w:rPr>
      </w:pPr>
      <w:r w:rsidRPr="003521B5">
        <w:rPr>
          <w:rFonts w:ascii="Avenir Next LT Pro" w:eastAsia="Times New Roman" w:hAnsi="Avenir Next LT Pro" w:cs="Times New Roman"/>
          <w:b/>
          <w:bCs/>
          <w:sz w:val="22"/>
        </w:rPr>
        <w:t>DAF/</w:t>
      </w:r>
      <w:r w:rsidR="00DA096C">
        <w:rPr>
          <w:rFonts w:ascii="Avenir Next LT Pro" w:eastAsia="Times New Roman" w:hAnsi="Avenir Next LT Pro" w:cs="Times New Roman"/>
          <w:b/>
          <w:bCs/>
          <w:sz w:val="22"/>
        </w:rPr>
        <w:t>CMF/</w:t>
      </w:r>
      <w:proofErr w:type="gramStart"/>
      <w:r w:rsidR="00DA096C">
        <w:rPr>
          <w:rFonts w:ascii="Avenir Next LT Pro" w:eastAsia="Times New Roman" w:hAnsi="Avenir Next LT Pro" w:cs="Times New Roman"/>
          <w:b/>
          <w:bCs/>
          <w:sz w:val="22"/>
        </w:rPr>
        <w:t>SF(</w:t>
      </w:r>
      <w:proofErr w:type="gramEnd"/>
      <w:r w:rsidR="00DA096C">
        <w:rPr>
          <w:rFonts w:ascii="Avenir Next LT Pro" w:eastAsia="Times New Roman" w:hAnsi="Avenir Next LT Pro" w:cs="Times New Roman"/>
          <w:b/>
          <w:bCs/>
          <w:sz w:val="22"/>
        </w:rPr>
        <w:t>2026)3</w:t>
      </w:r>
    </w:p>
    <w:p w14:paraId="32709332" w14:textId="3B3D26D9" w:rsidR="00F56C48" w:rsidRPr="003521B5" w:rsidRDefault="003521B5">
      <w:pPr>
        <w:jc w:val="center"/>
        <w:rPr>
          <w:rFonts w:ascii="Avenir Next LT Pro" w:hAnsi="Avenir Next LT Pro"/>
          <w:sz w:val="22"/>
        </w:rPr>
      </w:pPr>
      <w:r w:rsidRPr="003521B5">
        <w:rPr>
          <w:rFonts w:ascii="Avenir Next LT Pro" w:hAnsi="Avenir Next LT Pro"/>
          <w:color w:val="2E2E77"/>
          <w:sz w:val="22"/>
        </w:rPr>
        <w:t>1</w:t>
      </w:r>
      <w:r w:rsidR="008A34C2">
        <w:rPr>
          <w:rFonts w:ascii="Avenir Next LT Pro" w:hAnsi="Avenir Next LT Pro"/>
          <w:color w:val="2E2E77"/>
          <w:sz w:val="22"/>
        </w:rPr>
        <w:t>5</w:t>
      </w:r>
      <w:r w:rsidR="00DC0A22" w:rsidRPr="003521B5">
        <w:rPr>
          <w:rFonts w:ascii="Avenir Next LT Pro" w:hAnsi="Avenir Next LT Pro"/>
          <w:color w:val="2E2E77"/>
          <w:sz w:val="22"/>
        </w:rPr>
        <w:t xml:space="preserve"> October 2026</w:t>
      </w:r>
    </w:p>
    <w:p w14:paraId="4AA7D302" w14:textId="77777777" w:rsidR="00DA096C" w:rsidRPr="00D8358C" w:rsidRDefault="00DA096C" w:rsidP="00DA096C">
      <w:pPr>
        <w:pStyle w:val="NormalWeb"/>
        <w:numPr>
          <w:ilvl w:val="0"/>
          <w:numId w:val="21"/>
        </w:numPr>
        <w:rPr>
          <w:rFonts w:ascii="Avenir Next LT Pro" w:hAnsi="Avenir Next LT Pro"/>
          <w:sz w:val="22"/>
          <w:szCs w:val="22"/>
        </w:rPr>
      </w:pPr>
      <w:r w:rsidRPr="00D8358C">
        <w:rPr>
          <w:rFonts w:ascii="Avenir Next LT Pro" w:hAnsi="Avenir Next LT Pro"/>
          <w:i/>
          <w:iCs/>
          <w:sz w:val="22"/>
          <w:szCs w:val="22"/>
        </w:rPr>
        <w:t>Business at OECD</w:t>
      </w:r>
      <w:r w:rsidRPr="00D8358C">
        <w:rPr>
          <w:rFonts w:ascii="Avenir Next LT Pro" w:hAnsi="Avenir Next LT Pro"/>
          <w:sz w:val="22"/>
          <w:szCs w:val="22"/>
        </w:rPr>
        <w:t xml:space="preserve"> (BIAC) welcomes the draft report and its emphasis on </w:t>
      </w:r>
      <w:proofErr w:type="spellStart"/>
      <w:r w:rsidRPr="00D8358C">
        <w:rPr>
          <w:rFonts w:ascii="Avenir Next LT Pro" w:hAnsi="Avenir Next LT Pro"/>
          <w:sz w:val="22"/>
          <w:szCs w:val="22"/>
        </w:rPr>
        <w:t>mobilising</w:t>
      </w:r>
      <w:proofErr w:type="spellEnd"/>
      <w:r w:rsidRPr="00D8358C">
        <w:rPr>
          <w:rFonts w:ascii="Avenir Next LT Pro" w:hAnsi="Avenir Next LT Pro"/>
          <w:sz w:val="22"/>
          <w:szCs w:val="22"/>
        </w:rPr>
        <w:t xml:space="preserve"> private capital for climate mitigation and adaptation. We particularly support its focus on predictable regulatory frameworks, investment-ready projects, well-functioning capital markets and effective public-private risk-sharing mechanisms. To strengthen the report's practical relevance for businesses and investors, BIAC would highlight six priorities:</w:t>
      </w:r>
    </w:p>
    <w:p w14:paraId="0B698A8A" w14:textId="77777777" w:rsidR="00DA096C" w:rsidRPr="00D8358C" w:rsidRDefault="00DA096C" w:rsidP="00DA096C">
      <w:pPr>
        <w:pStyle w:val="NormalWeb"/>
        <w:rPr>
          <w:rFonts w:ascii="Avenir Next LT Pro" w:hAnsi="Avenir Next LT Pro"/>
          <w:sz w:val="22"/>
          <w:szCs w:val="22"/>
        </w:rPr>
      </w:pPr>
    </w:p>
    <w:p w14:paraId="6E1CF6E9" w14:textId="4FF058A2" w:rsidR="00DA096C" w:rsidRPr="00D8358C" w:rsidRDefault="00DA096C" w:rsidP="00DA096C">
      <w:pPr>
        <w:pStyle w:val="NormalWeb"/>
        <w:rPr>
          <w:rFonts w:ascii="Avenir Next LT Pro" w:hAnsi="Avenir Next LT Pro"/>
          <w:b/>
          <w:bCs/>
          <w:sz w:val="22"/>
          <w:szCs w:val="22"/>
        </w:rPr>
      </w:pPr>
      <w:r w:rsidRPr="00D8358C">
        <w:rPr>
          <w:rFonts w:ascii="Avenir Next LT Pro" w:hAnsi="Avenir Next LT Pro"/>
          <w:b/>
          <w:bCs/>
          <w:sz w:val="22"/>
          <w:szCs w:val="22"/>
        </w:rPr>
        <w:t xml:space="preserve">1. Make regulatory predictability and administrative simplification central to </w:t>
      </w:r>
      <w:proofErr w:type="spellStart"/>
      <w:r w:rsidRPr="00D8358C">
        <w:rPr>
          <w:rFonts w:ascii="Avenir Next LT Pro" w:hAnsi="Avenir Next LT Pro"/>
          <w:b/>
          <w:bCs/>
          <w:sz w:val="22"/>
          <w:szCs w:val="22"/>
        </w:rPr>
        <w:t>mobilising</w:t>
      </w:r>
      <w:proofErr w:type="spellEnd"/>
      <w:r w:rsidRPr="00D8358C">
        <w:rPr>
          <w:rFonts w:ascii="Avenir Next LT Pro" w:hAnsi="Avenir Next LT Pro"/>
          <w:b/>
          <w:bCs/>
          <w:sz w:val="22"/>
          <w:szCs w:val="22"/>
        </w:rPr>
        <w:t xml:space="preserve"> private investment</w:t>
      </w:r>
    </w:p>
    <w:p w14:paraId="0751274B" w14:textId="3AC9504E" w:rsidR="00DA096C" w:rsidRPr="00D8358C" w:rsidRDefault="00DA096C" w:rsidP="00DA096C">
      <w:pPr>
        <w:pStyle w:val="NormalWeb"/>
        <w:numPr>
          <w:ilvl w:val="0"/>
          <w:numId w:val="21"/>
        </w:numPr>
        <w:rPr>
          <w:rFonts w:ascii="Avenir Next LT Pro" w:hAnsi="Avenir Next LT Pro"/>
          <w:sz w:val="22"/>
          <w:szCs w:val="22"/>
        </w:rPr>
      </w:pPr>
      <w:r w:rsidRPr="00D8358C">
        <w:rPr>
          <w:rFonts w:ascii="Avenir Next LT Pro" w:hAnsi="Avenir Next LT Pro"/>
          <w:sz w:val="22"/>
          <w:szCs w:val="22"/>
        </w:rPr>
        <w:t xml:space="preserve">BIAC welcomes the report's recognition that regulatory uncertainty, permitting delays and insufficient project preparation capacity are major obstacles to climate investment. These challenges are confirmed </w:t>
      </w:r>
      <w:r w:rsidRPr="00D8358C">
        <w:rPr>
          <w:rFonts w:ascii="Avenir Next LT Pro" w:hAnsi="Avenir Next LT Pro"/>
          <w:sz w:val="22"/>
          <w:szCs w:val="22"/>
        </w:rPr>
        <w:t xml:space="preserve">for instance </w:t>
      </w:r>
      <w:r w:rsidRPr="00D8358C">
        <w:rPr>
          <w:rFonts w:ascii="Avenir Next LT Pro" w:hAnsi="Avenir Next LT Pro"/>
          <w:sz w:val="22"/>
          <w:szCs w:val="22"/>
        </w:rPr>
        <w:t>by</w:t>
      </w:r>
      <w:r w:rsidRPr="00D8358C">
        <w:rPr>
          <w:rFonts w:ascii="Avenir Next LT Pro" w:hAnsi="Avenir Next LT Pro"/>
          <w:sz w:val="22"/>
          <w:szCs w:val="22"/>
        </w:rPr>
        <w:t xml:space="preserve"> 2024</w:t>
      </w:r>
      <w:r w:rsidRPr="00D8358C">
        <w:rPr>
          <w:rFonts w:ascii="Avenir Next LT Pro" w:hAnsi="Avenir Next LT Pro"/>
          <w:sz w:val="22"/>
          <w:szCs w:val="22"/>
        </w:rPr>
        <w:t xml:space="preserve"> </w:t>
      </w:r>
      <w:proofErr w:type="spellStart"/>
      <w:r w:rsidRPr="00D8358C">
        <w:rPr>
          <w:rFonts w:ascii="Avenir Next LT Pro" w:hAnsi="Avenir Next LT Pro"/>
          <w:sz w:val="22"/>
          <w:szCs w:val="22"/>
        </w:rPr>
        <w:t>BusinessEurope's</w:t>
      </w:r>
      <w:proofErr w:type="spellEnd"/>
      <w:r w:rsidRPr="00D8358C">
        <w:rPr>
          <w:rFonts w:ascii="Avenir Next LT Pro" w:hAnsi="Avenir Next LT Pro"/>
          <w:sz w:val="22"/>
          <w:szCs w:val="22"/>
        </w:rPr>
        <w:t xml:space="preserve"> </w:t>
      </w:r>
      <w:proofErr w:type="spellStart"/>
      <w:r w:rsidRPr="00D8358C">
        <w:rPr>
          <w:rFonts w:ascii="Avenir Next LT Pro" w:hAnsi="Avenir Next LT Pro"/>
          <w:sz w:val="22"/>
          <w:szCs w:val="22"/>
        </w:rPr>
        <w:t>Licence</w:t>
      </w:r>
      <w:proofErr w:type="spellEnd"/>
      <w:r w:rsidRPr="00D8358C">
        <w:rPr>
          <w:rFonts w:ascii="Avenir Next LT Pro" w:hAnsi="Avenir Next LT Pro"/>
          <w:sz w:val="22"/>
          <w:szCs w:val="22"/>
        </w:rPr>
        <w:t xml:space="preserve"> to Transform study, based on a survey of 240 companies across 21 European countries: 83% of respondents identified permitting complexity and duration as obstacles to investment, while approximately 60% reported approval procedures lasting between one and six years</w:t>
      </w:r>
      <w:r w:rsidRPr="00D8358C">
        <w:rPr>
          <w:rFonts w:ascii="Avenir Next LT Pro" w:hAnsi="Avenir Next LT Pro"/>
          <w:sz w:val="22"/>
          <w:szCs w:val="22"/>
        </w:rPr>
        <w:t xml:space="preserve">. </w:t>
      </w:r>
      <w:r w:rsidRPr="00D8358C">
        <w:rPr>
          <w:rFonts w:ascii="Avenir Next LT Pro" w:hAnsi="Avenir Next LT Pro"/>
          <w:sz w:val="22"/>
          <w:szCs w:val="22"/>
        </w:rPr>
        <w:t xml:space="preserve">Companies particularly highlighted slow responses from public authorities (83%), understaffing (80%) and insufficient coordination between authorities (79%). </w:t>
      </w:r>
      <w:r w:rsidRPr="00D8358C">
        <w:rPr>
          <w:rFonts w:ascii="Avenir Next LT Pro" w:hAnsi="Avenir Next LT Pro"/>
          <w:sz w:val="22"/>
          <w:szCs w:val="22"/>
        </w:rPr>
        <w:br/>
      </w:r>
    </w:p>
    <w:p w14:paraId="7473AF34" w14:textId="581B8736" w:rsidR="00DA096C" w:rsidRPr="00D8358C" w:rsidRDefault="00DA096C" w:rsidP="00DA096C">
      <w:pPr>
        <w:pStyle w:val="NormalWeb"/>
        <w:numPr>
          <w:ilvl w:val="0"/>
          <w:numId w:val="21"/>
        </w:numPr>
        <w:rPr>
          <w:rFonts w:ascii="Avenir Next LT Pro" w:hAnsi="Avenir Next LT Pro"/>
          <w:sz w:val="22"/>
          <w:szCs w:val="22"/>
        </w:rPr>
      </w:pPr>
      <w:r w:rsidRPr="00D8358C">
        <w:rPr>
          <w:rFonts w:ascii="Avenir Next LT Pro" w:hAnsi="Avenir Next LT Pro"/>
          <w:sz w:val="22"/>
          <w:szCs w:val="22"/>
        </w:rPr>
        <w:t xml:space="preserve">BIAC therefore encourages the OECD to place greater emphasis on streamlined permitting procedures, binding decision-making timelines, improved administrative capacity and structured dialogue between companies and permitting authorities. Regulatory predictability and administrative efficiency should be </w:t>
      </w:r>
      <w:proofErr w:type="spellStart"/>
      <w:r w:rsidRPr="00D8358C">
        <w:rPr>
          <w:rFonts w:ascii="Avenir Next LT Pro" w:hAnsi="Avenir Next LT Pro"/>
          <w:sz w:val="22"/>
          <w:szCs w:val="22"/>
        </w:rPr>
        <w:t>recognised</w:t>
      </w:r>
      <w:proofErr w:type="spellEnd"/>
      <w:r w:rsidRPr="00D8358C">
        <w:rPr>
          <w:rFonts w:ascii="Avenir Next LT Pro" w:hAnsi="Avenir Next LT Pro"/>
          <w:sz w:val="22"/>
          <w:szCs w:val="22"/>
        </w:rPr>
        <w:t xml:space="preserve"> as essential conditions for project bankability, alongside financial support mechanisms.</w:t>
      </w:r>
    </w:p>
    <w:p w14:paraId="6D40CDA3" w14:textId="331F0E71" w:rsidR="00DA096C" w:rsidRPr="00D8358C" w:rsidRDefault="00DA096C" w:rsidP="00DA096C">
      <w:pPr>
        <w:pStyle w:val="NormalWeb"/>
        <w:rPr>
          <w:rFonts w:ascii="Avenir Next LT Pro" w:hAnsi="Avenir Next LT Pro"/>
          <w:b/>
          <w:bCs/>
          <w:sz w:val="22"/>
          <w:szCs w:val="22"/>
        </w:rPr>
      </w:pPr>
      <w:r w:rsidRPr="00D8358C">
        <w:rPr>
          <w:rFonts w:ascii="Avenir Next LT Pro" w:hAnsi="Avenir Next LT Pro"/>
          <w:b/>
          <w:bCs/>
          <w:sz w:val="22"/>
          <w:szCs w:val="22"/>
        </w:rPr>
        <w:t>2. Strengthen public-private cooperation in developing investment-ready projects</w:t>
      </w:r>
    </w:p>
    <w:p w14:paraId="3C17D723" w14:textId="146CF459" w:rsidR="00DA096C" w:rsidRPr="00D8358C" w:rsidRDefault="00DA096C" w:rsidP="00DA096C">
      <w:pPr>
        <w:pStyle w:val="NormalWeb"/>
        <w:numPr>
          <w:ilvl w:val="0"/>
          <w:numId w:val="22"/>
        </w:numPr>
        <w:rPr>
          <w:rFonts w:ascii="Avenir Next LT Pro" w:hAnsi="Avenir Next LT Pro"/>
          <w:sz w:val="22"/>
          <w:szCs w:val="22"/>
        </w:rPr>
      </w:pPr>
      <w:r w:rsidRPr="00D8358C">
        <w:rPr>
          <w:rFonts w:ascii="Avenir Next LT Pro" w:hAnsi="Avenir Next LT Pro"/>
          <w:sz w:val="22"/>
          <w:szCs w:val="22"/>
        </w:rPr>
        <w:t xml:space="preserve">BIAC strongly supports the report's emphasis on project preparation, identified as a major barrier to private finance </w:t>
      </w:r>
      <w:r w:rsidRPr="00D8358C">
        <w:rPr>
          <w:rFonts w:ascii="Avenir Next LT Pro" w:hAnsi="Avenir Next LT Pro"/>
          <w:sz w:val="22"/>
          <w:szCs w:val="22"/>
        </w:rPr>
        <w:t>mobilization.</w:t>
      </w:r>
      <w:r w:rsidRPr="00D8358C">
        <w:rPr>
          <w:rFonts w:ascii="Avenir Next LT Pro" w:hAnsi="Avenir Next LT Pro"/>
          <w:sz w:val="22"/>
          <w:szCs w:val="22"/>
        </w:rPr>
        <w:t xml:space="preserve"> Public-private cooperation should begin at the project design stage, enabling investors to contribute expertise on commercial viability, risk allocation and financing structures. </w:t>
      </w:r>
      <w:r w:rsidRPr="00D8358C">
        <w:rPr>
          <w:rFonts w:ascii="Avenir Next LT Pro" w:hAnsi="Avenir Next LT Pro"/>
          <w:sz w:val="22"/>
          <w:szCs w:val="22"/>
        </w:rPr>
        <w:br/>
      </w:r>
    </w:p>
    <w:p w14:paraId="6A1DD40F" w14:textId="5A2057D8" w:rsidR="00DA096C" w:rsidRPr="00D8358C" w:rsidRDefault="00DA096C" w:rsidP="00DA096C">
      <w:pPr>
        <w:pStyle w:val="NormalWeb"/>
        <w:numPr>
          <w:ilvl w:val="0"/>
          <w:numId w:val="22"/>
        </w:numPr>
        <w:rPr>
          <w:rFonts w:ascii="Avenir Next LT Pro" w:hAnsi="Avenir Next LT Pro"/>
          <w:sz w:val="22"/>
          <w:szCs w:val="22"/>
        </w:rPr>
      </w:pPr>
      <w:r w:rsidRPr="00D8358C">
        <w:rPr>
          <w:rFonts w:ascii="Avenir Next LT Pro" w:hAnsi="Avenir Next LT Pro"/>
          <w:sz w:val="22"/>
          <w:szCs w:val="22"/>
        </w:rPr>
        <w:t xml:space="preserve">The European Investment Bank's ELENA facility provides a useful example: by the end of 2025, EUR 374 million in technical assistance grants across 206 projects </w:t>
      </w:r>
      <w:proofErr w:type="gramStart"/>
      <w:r w:rsidRPr="00D8358C">
        <w:rPr>
          <w:rFonts w:ascii="Avenir Next LT Pro" w:hAnsi="Avenir Next LT Pro"/>
          <w:sz w:val="22"/>
          <w:szCs w:val="22"/>
        </w:rPr>
        <w:t>had supported</w:t>
      </w:r>
      <w:proofErr w:type="gramEnd"/>
      <w:r w:rsidRPr="00D8358C">
        <w:rPr>
          <w:rFonts w:ascii="Avenir Next LT Pro" w:hAnsi="Avenir Next LT Pro"/>
          <w:sz w:val="22"/>
          <w:szCs w:val="22"/>
        </w:rPr>
        <w:t xml:space="preserve"> more than EUR 12.7 billion in sustainable energy and transport. The OECD should encourage dedicated project preparation facilities, </w:t>
      </w:r>
      <w:proofErr w:type="spellStart"/>
      <w:r w:rsidRPr="00D8358C">
        <w:rPr>
          <w:rFonts w:ascii="Avenir Next LT Pro" w:hAnsi="Avenir Next LT Pro"/>
          <w:sz w:val="22"/>
          <w:szCs w:val="22"/>
        </w:rPr>
        <w:t>standardised</w:t>
      </w:r>
      <w:proofErr w:type="spellEnd"/>
      <w:r w:rsidRPr="00D8358C">
        <w:rPr>
          <w:rFonts w:ascii="Avenir Next LT Pro" w:hAnsi="Avenir Next LT Pro"/>
          <w:sz w:val="22"/>
          <w:szCs w:val="22"/>
        </w:rPr>
        <w:t xml:space="preserve"> contractual frameworks and earlier engagement with private investors to develop credible, bankable investment pipelines.</w:t>
      </w:r>
    </w:p>
    <w:p w14:paraId="155D2861" w14:textId="77777777" w:rsidR="00DA096C" w:rsidRPr="00D8358C" w:rsidRDefault="00DA096C" w:rsidP="00DA096C">
      <w:pPr>
        <w:pStyle w:val="NormalWeb"/>
        <w:rPr>
          <w:rFonts w:ascii="Avenir Next LT Pro" w:hAnsi="Avenir Next LT Pro"/>
          <w:sz w:val="22"/>
          <w:szCs w:val="22"/>
        </w:rPr>
      </w:pPr>
    </w:p>
    <w:p w14:paraId="677B65CB" w14:textId="3ED84F70" w:rsidR="00DA096C" w:rsidRPr="00D8358C" w:rsidRDefault="00DA096C" w:rsidP="00DA096C">
      <w:pPr>
        <w:pStyle w:val="NormalWeb"/>
        <w:rPr>
          <w:rFonts w:ascii="Avenir Next LT Pro" w:hAnsi="Avenir Next LT Pro"/>
          <w:sz w:val="22"/>
          <w:szCs w:val="22"/>
        </w:rPr>
      </w:pPr>
      <w:r w:rsidRPr="00D8358C">
        <w:rPr>
          <w:rFonts w:ascii="Avenir Next LT Pro" w:hAnsi="Avenir Next LT Pro"/>
          <w:b/>
          <w:bCs/>
          <w:sz w:val="22"/>
          <w:szCs w:val="22"/>
        </w:rPr>
        <w:lastRenderedPageBreak/>
        <w:t>3. Ensure public financing instruments crowd in, rather than crowd out, private capital</w:t>
      </w:r>
    </w:p>
    <w:p w14:paraId="587861A1" w14:textId="60492BEB" w:rsidR="00DA096C" w:rsidRPr="00D8358C" w:rsidRDefault="00DA096C" w:rsidP="00DA096C">
      <w:pPr>
        <w:pStyle w:val="NormalWeb"/>
        <w:numPr>
          <w:ilvl w:val="0"/>
          <w:numId w:val="23"/>
        </w:numPr>
        <w:rPr>
          <w:rFonts w:ascii="Avenir Next LT Pro" w:hAnsi="Avenir Next LT Pro"/>
          <w:sz w:val="22"/>
          <w:szCs w:val="22"/>
        </w:rPr>
      </w:pPr>
      <w:r w:rsidRPr="00D8358C">
        <w:rPr>
          <w:rFonts w:ascii="Avenir Next LT Pro" w:hAnsi="Avenir Next LT Pro"/>
          <w:sz w:val="22"/>
          <w:szCs w:val="22"/>
        </w:rPr>
        <w:t xml:space="preserve">BIAC supports the report's emphasis on additionality, appropriate risk allocation and the efficient use of public resources. Guarantees, concessional loans and co-investment mechanisms can address specific market failures and improve the risk-return profiles of projects that would otherwise struggle to attract financing. </w:t>
      </w:r>
      <w:r w:rsidRPr="00D8358C">
        <w:rPr>
          <w:rFonts w:ascii="Avenir Next LT Pro" w:hAnsi="Avenir Next LT Pro"/>
          <w:sz w:val="22"/>
          <w:szCs w:val="22"/>
        </w:rPr>
        <w:br/>
      </w:r>
    </w:p>
    <w:p w14:paraId="1B5E80BA" w14:textId="20862839" w:rsidR="00DA096C" w:rsidRPr="00D8358C" w:rsidRDefault="00DA096C" w:rsidP="00DA096C">
      <w:pPr>
        <w:pStyle w:val="NormalWeb"/>
        <w:numPr>
          <w:ilvl w:val="0"/>
          <w:numId w:val="23"/>
        </w:numPr>
        <w:rPr>
          <w:rFonts w:ascii="Avenir Next LT Pro" w:hAnsi="Avenir Next LT Pro"/>
          <w:sz w:val="22"/>
          <w:szCs w:val="22"/>
        </w:rPr>
      </w:pPr>
      <w:r w:rsidRPr="00D8358C">
        <w:rPr>
          <w:rFonts w:ascii="Avenir Next LT Pro" w:hAnsi="Avenir Next LT Pro"/>
          <w:sz w:val="22"/>
          <w:szCs w:val="22"/>
        </w:rPr>
        <w:t xml:space="preserve">OECD evidence on private finance </w:t>
      </w:r>
      <w:proofErr w:type="spellStart"/>
      <w:r w:rsidRPr="00D8358C">
        <w:rPr>
          <w:rFonts w:ascii="Avenir Next LT Pro" w:hAnsi="Avenir Next LT Pro"/>
          <w:sz w:val="22"/>
          <w:szCs w:val="22"/>
        </w:rPr>
        <w:t>mobilisation</w:t>
      </w:r>
      <w:proofErr w:type="spellEnd"/>
      <w:r w:rsidRPr="00D8358C">
        <w:rPr>
          <w:rFonts w:ascii="Avenir Next LT Pro" w:hAnsi="Avenir Next LT Pro"/>
          <w:sz w:val="22"/>
          <w:szCs w:val="22"/>
        </w:rPr>
        <w:t xml:space="preserve"> for sustainable development indicates that guarantees, direct investment and syndicated loans together accounted for approximately 70% of annual average private finance </w:t>
      </w:r>
      <w:proofErr w:type="spellStart"/>
      <w:r w:rsidRPr="00D8358C">
        <w:rPr>
          <w:rFonts w:ascii="Avenir Next LT Pro" w:hAnsi="Avenir Next LT Pro"/>
          <w:sz w:val="22"/>
          <w:szCs w:val="22"/>
        </w:rPr>
        <w:t>mobilised</w:t>
      </w:r>
      <w:proofErr w:type="spellEnd"/>
      <w:r w:rsidRPr="00D8358C">
        <w:rPr>
          <w:rFonts w:ascii="Avenir Next LT Pro" w:hAnsi="Avenir Next LT Pro"/>
          <w:sz w:val="22"/>
          <w:szCs w:val="22"/>
        </w:rPr>
        <w:t xml:space="preserve"> between 2021 and 2024 </w:t>
      </w:r>
      <w:r w:rsidRPr="00D8358C">
        <w:rPr>
          <w:rFonts w:ascii="Avenir Next LT Pro" w:hAnsi="Avenir Next LT Pro"/>
          <w:sz w:val="22"/>
          <w:szCs w:val="22"/>
        </w:rPr>
        <w:t>(</w:t>
      </w:r>
      <w:proofErr w:type="spellStart"/>
      <w:r w:rsidRPr="00D8358C">
        <w:rPr>
          <w:rFonts w:ascii="Avenir Next LT Pro" w:hAnsi="Avenir Next LT Pro"/>
          <w:sz w:val="22"/>
          <w:szCs w:val="22"/>
        </w:rPr>
        <w:t>cf</w:t>
      </w:r>
      <w:proofErr w:type="spellEnd"/>
      <w:r w:rsidRPr="00D8358C">
        <w:rPr>
          <w:rFonts w:ascii="Avenir Next LT Pro" w:hAnsi="Avenir Next LT Pro"/>
          <w:sz w:val="22"/>
          <w:szCs w:val="22"/>
        </w:rPr>
        <w:t xml:space="preserve"> 2026 </w:t>
      </w:r>
      <w:r w:rsidRPr="00D8358C">
        <w:rPr>
          <w:rFonts w:ascii="Avenir Next LT Pro" w:hAnsi="Avenir Next LT Pro"/>
          <w:sz w:val="22"/>
          <w:szCs w:val="22"/>
        </w:rPr>
        <w:t xml:space="preserve">OECD Private Finance </w:t>
      </w:r>
      <w:proofErr w:type="spellStart"/>
      <w:r w:rsidRPr="00D8358C">
        <w:rPr>
          <w:rFonts w:ascii="Avenir Next LT Pro" w:hAnsi="Avenir Next LT Pro"/>
          <w:sz w:val="22"/>
          <w:szCs w:val="22"/>
        </w:rPr>
        <w:t>Mobilisation</w:t>
      </w:r>
      <w:proofErr w:type="spellEnd"/>
      <w:r w:rsidRPr="00D8358C">
        <w:rPr>
          <w:rFonts w:ascii="Avenir Next LT Pro" w:hAnsi="Avenir Next LT Pro"/>
          <w:sz w:val="22"/>
          <w:szCs w:val="22"/>
        </w:rPr>
        <w:t xml:space="preserve"> Report</w:t>
      </w:r>
      <w:r w:rsidRPr="00D8358C">
        <w:rPr>
          <w:rFonts w:ascii="Avenir Next LT Pro" w:hAnsi="Avenir Next LT Pro"/>
          <w:sz w:val="22"/>
          <w:szCs w:val="22"/>
        </w:rPr>
        <w:t>)</w:t>
      </w:r>
      <w:r w:rsidRPr="00D8358C">
        <w:rPr>
          <w:rFonts w:ascii="Avenir Next LT Pro" w:hAnsi="Avenir Next LT Pro"/>
          <w:sz w:val="22"/>
          <w:szCs w:val="22"/>
        </w:rPr>
        <w:t xml:space="preserve">. Public support should therefore remain targeted, transparent and proportionate, with pragmatic additionality assessments that consider the location, scale, timing and risk profile of investments. The OECD should also encourage competitive neutrality, effective monitoring of </w:t>
      </w:r>
      <w:proofErr w:type="spellStart"/>
      <w:r w:rsidRPr="00D8358C">
        <w:rPr>
          <w:rFonts w:ascii="Avenir Next LT Pro" w:hAnsi="Avenir Next LT Pro"/>
          <w:sz w:val="22"/>
          <w:szCs w:val="22"/>
        </w:rPr>
        <w:t>mobilisation</w:t>
      </w:r>
      <w:proofErr w:type="spellEnd"/>
      <w:r w:rsidRPr="00D8358C">
        <w:rPr>
          <w:rFonts w:ascii="Avenir Next LT Pro" w:hAnsi="Avenir Next LT Pro"/>
          <w:sz w:val="22"/>
          <w:szCs w:val="22"/>
        </w:rPr>
        <w:t xml:space="preserve"> outcomes and safeguards against unnecessary crowding out of private capital.</w:t>
      </w:r>
    </w:p>
    <w:p w14:paraId="41281B55" w14:textId="55C1E354" w:rsidR="00DA096C" w:rsidRPr="00D8358C" w:rsidRDefault="00DA096C" w:rsidP="00DA096C">
      <w:pPr>
        <w:pStyle w:val="NormalWeb"/>
        <w:rPr>
          <w:rFonts w:ascii="Avenir Next LT Pro" w:hAnsi="Avenir Next LT Pro"/>
          <w:b/>
          <w:bCs/>
          <w:sz w:val="22"/>
          <w:szCs w:val="22"/>
        </w:rPr>
      </w:pPr>
      <w:r w:rsidRPr="00D8358C">
        <w:rPr>
          <w:rFonts w:ascii="Avenir Next LT Pro" w:hAnsi="Avenir Next LT Pro"/>
          <w:b/>
          <w:bCs/>
          <w:sz w:val="22"/>
          <w:szCs w:val="22"/>
        </w:rPr>
        <w:t>4. Leverage capital markets and promote internationally coherent sustainable finance frameworks</w:t>
      </w:r>
    </w:p>
    <w:p w14:paraId="4BA85D61" w14:textId="6A16ADA4" w:rsidR="00DA096C" w:rsidRPr="00D8358C" w:rsidRDefault="00DA096C" w:rsidP="00DA096C">
      <w:pPr>
        <w:pStyle w:val="NormalWeb"/>
        <w:numPr>
          <w:ilvl w:val="0"/>
          <w:numId w:val="24"/>
        </w:numPr>
        <w:rPr>
          <w:rFonts w:ascii="Avenir Next LT Pro" w:hAnsi="Avenir Next LT Pro"/>
          <w:sz w:val="22"/>
          <w:szCs w:val="22"/>
        </w:rPr>
      </w:pPr>
      <w:r w:rsidRPr="00D8358C">
        <w:rPr>
          <w:rFonts w:ascii="Avenir Next LT Pro" w:hAnsi="Avenir Next LT Pro"/>
          <w:sz w:val="22"/>
          <w:szCs w:val="22"/>
        </w:rPr>
        <w:t xml:space="preserve">BIAC welcomes the report's recognition that deep and liquid capital markets are essential to </w:t>
      </w:r>
      <w:proofErr w:type="spellStart"/>
      <w:r w:rsidRPr="00D8358C">
        <w:rPr>
          <w:rFonts w:ascii="Avenir Next LT Pro" w:hAnsi="Avenir Next LT Pro"/>
          <w:sz w:val="22"/>
          <w:szCs w:val="22"/>
        </w:rPr>
        <w:t>mobilising</w:t>
      </w:r>
      <w:proofErr w:type="spellEnd"/>
      <w:r w:rsidRPr="00D8358C">
        <w:rPr>
          <w:rFonts w:ascii="Avenir Next LT Pro" w:hAnsi="Avenir Next LT Pro"/>
          <w:sz w:val="22"/>
          <w:szCs w:val="22"/>
        </w:rPr>
        <w:t xml:space="preserve"> long-term climate investment, particularly through institutional investors such as pension funds and insurers. However, fragmented sustainable finance requirements can increase compliance costs and discourage cross-border capital allocation. </w:t>
      </w:r>
      <w:r w:rsidRPr="00D8358C">
        <w:rPr>
          <w:rFonts w:ascii="Avenir Next LT Pro" w:hAnsi="Avenir Next LT Pro"/>
          <w:sz w:val="22"/>
          <w:szCs w:val="22"/>
        </w:rPr>
        <w:br/>
      </w:r>
    </w:p>
    <w:p w14:paraId="28BF7A0B" w14:textId="1D7F1B85" w:rsidR="00DA096C" w:rsidRPr="00D8358C" w:rsidRDefault="00DA096C" w:rsidP="00DA096C">
      <w:pPr>
        <w:pStyle w:val="NormalWeb"/>
        <w:numPr>
          <w:ilvl w:val="0"/>
          <w:numId w:val="24"/>
        </w:numPr>
        <w:rPr>
          <w:rFonts w:ascii="Avenir Next LT Pro" w:hAnsi="Avenir Next LT Pro"/>
          <w:sz w:val="22"/>
          <w:szCs w:val="22"/>
        </w:rPr>
      </w:pPr>
      <w:r w:rsidRPr="00D8358C">
        <w:rPr>
          <w:rFonts w:ascii="Avenir Next LT Pro" w:hAnsi="Avenir Next LT Pro"/>
          <w:sz w:val="22"/>
          <w:szCs w:val="22"/>
        </w:rPr>
        <w:t xml:space="preserve">The OECD's 2026 review of climate-related finance policies identifies more than 670 climate-related transparency policies adopted across 110 countries and EU institutions by 2025 </w:t>
      </w:r>
      <w:r w:rsidRPr="00D8358C">
        <w:rPr>
          <w:rFonts w:ascii="Avenir Next LT Pro" w:hAnsi="Avenir Next LT Pro"/>
          <w:sz w:val="22"/>
          <w:szCs w:val="22"/>
        </w:rPr>
        <w:t>(</w:t>
      </w:r>
      <w:proofErr w:type="spellStart"/>
      <w:r w:rsidRPr="00D8358C">
        <w:rPr>
          <w:rFonts w:ascii="Avenir Next LT Pro" w:hAnsi="Avenir Next LT Pro"/>
          <w:sz w:val="22"/>
          <w:szCs w:val="22"/>
        </w:rPr>
        <w:t>cf</w:t>
      </w:r>
      <w:proofErr w:type="spellEnd"/>
      <w:r w:rsidRPr="00D8358C">
        <w:rPr>
          <w:rFonts w:ascii="Avenir Next LT Pro" w:hAnsi="Avenir Next LT Pro"/>
          <w:sz w:val="22"/>
          <w:szCs w:val="22"/>
        </w:rPr>
        <w:t xml:space="preserve"> the 2026 </w:t>
      </w:r>
      <w:r w:rsidRPr="00D8358C">
        <w:rPr>
          <w:rFonts w:ascii="Avenir Next LT Pro" w:hAnsi="Avenir Next LT Pro"/>
          <w:sz w:val="22"/>
          <w:szCs w:val="22"/>
        </w:rPr>
        <w:t>OECD</w:t>
      </w:r>
      <w:r w:rsidRPr="00D8358C">
        <w:rPr>
          <w:rFonts w:ascii="Avenir Next LT Pro" w:hAnsi="Avenir Next LT Pro"/>
          <w:sz w:val="22"/>
          <w:szCs w:val="22"/>
        </w:rPr>
        <w:t xml:space="preserve"> </w:t>
      </w:r>
      <w:r w:rsidRPr="00D8358C">
        <w:rPr>
          <w:rFonts w:ascii="Avenir Next LT Pro" w:hAnsi="Avenir Next LT Pro"/>
          <w:sz w:val="22"/>
          <w:szCs w:val="22"/>
        </w:rPr>
        <w:t>Review on Aligning Finance with Climate Goals</w:t>
      </w:r>
      <w:r w:rsidRPr="00D8358C">
        <w:rPr>
          <w:rFonts w:ascii="Avenir Next LT Pro" w:hAnsi="Avenir Next LT Pro"/>
          <w:sz w:val="22"/>
          <w:szCs w:val="22"/>
        </w:rPr>
        <w:t>)</w:t>
      </w:r>
      <w:r w:rsidRPr="00D8358C">
        <w:rPr>
          <w:rFonts w:ascii="Avenir Next LT Pro" w:hAnsi="Avenir Next LT Pro"/>
          <w:sz w:val="22"/>
          <w:szCs w:val="22"/>
        </w:rPr>
        <w:t xml:space="preserve">. Consistent with </w:t>
      </w:r>
      <w:hyperlink r:id="rId8" w:history="1">
        <w:r w:rsidRPr="00D8358C">
          <w:rPr>
            <w:rStyle w:val="Hyperlink"/>
            <w:rFonts w:ascii="Avenir Next LT Pro" w:hAnsi="Avenir Next LT Pro"/>
            <w:sz w:val="22"/>
            <w:szCs w:val="22"/>
          </w:rPr>
          <w:t>BIAC's work on the risks of divergence between global ESG reporting standards</w:t>
        </w:r>
      </w:hyperlink>
      <w:r w:rsidRPr="00D8358C">
        <w:rPr>
          <w:rFonts w:ascii="Avenir Next LT Pro" w:hAnsi="Avenir Next LT Pro"/>
          <w:sz w:val="22"/>
          <w:szCs w:val="22"/>
        </w:rPr>
        <w:t xml:space="preserve">, the report should encourage greater interoperability of disclosure frameworks, recognition of internationally accepted standards and avoidance of duplicative obligations. The OECD should also promote project aggregation and </w:t>
      </w:r>
      <w:proofErr w:type="spellStart"/>
      <w:r w:rsidRPr="00D8358C">
        <w:rPr>
          <w:rFonts w:ascii="Avenir Next LT Pro" w:hAnsi="Avenir Next LT Pro"/>
          <w:sz w:val="22"/>
          <w:szCs w:val="22"/>
        </w:rPr>
        <w:t>standardised</w:t>
      </w:r>
      <w:proofErr w:type="spellEnd"/>
      <w:r w:rsidRPr="00D8358C">
        <w:rPr>
          <w:rFonts w:ascii="Avenir Next LT Pro" w:hAnsi="Avenir Next LT Pro"/>
          <w:sz w:val="22"/>
          <w:szCs w:val="22"/>
        </w:rPr>
        <w:t xml:space="preserve"> investment structures to facilitate institutional investment in climate-related infrastructure.</w:t>
      </w:r>
    </w:p>
    <w:p w14:paraId="76410118" w14:textId="304F7D88" w:rsidR="00DA096C" w:rsidRPr="00D8358C" w:rsidRDefault="00DA096C" w:rsidP="00DA096C">
      <w:pPr>
        <w:pStyle w:val="NormalWeb"/>
        <w:rPr>
          <w:rFonts w:ascii="Avenir Next LT Pro" w:hAnsi="Avenir Next LT Pro"/>
          <w:b/>
          <w:bCs/>
          <w:sz w:val="22"/>
          <w:szCs w:val="22"/>
        </w:rPr>
      </w:pPr>
      <w:r w:rsidRPr="00D8358C">
        <w:rPr>
          <w:rFonts w:ascii="Avenir Next LT Pro" w:hAnsi="Avenir Next LT Pro"/>
          <w:b/>
          <w:bCs/>
          <w:sz w:val="22"/>
          <w:szCs w:val="22"/>
        </w:rPr>
        <w:t>5. Give greater attention to adaptation finance and the challenges faced by SMEs</w:t>
      </w:r>
    </w:p>
    <w:p w14:paraId="28EE8A5E" w14:textId="7FB8CB63" w:rsidR="00DA096C" w:rsidRPr="00D8358C" w:rsidRDefault="00DA096C" w:rsidP="00DA096C">
      <w:pPr>
        <w:pStyle w:val="NormalWeb"/>
        <w:numPr>
          <w:ilvl w:val="0"/>
          <w:numId w:val="25"/>
        </w:numPr>
        <w:rPr>
          <w:rFonts w:ascii="Avenir Next LT Pro" w:hAnsi="Avenir Next LT Pro"/>
          <w:sz w:val="22"/>
          <w:szCs w:val="22"/>
        </w:rPr>
      </w:pPr>
      <w:r w:rsidRPr="00D8358C">
        <w:rPr>
          <w:rFonts w:ascii="Avenir Next LT Pro" w:hAnsi="Avenir Next LT Pro"/>
          <w:sz w:val="22"/>
          <w:szCs w:val="22"/>
        </w:rPr>
        <w:t xml:space="preserve">BIAC encourages the OECD to place greater emphasis on the financing challenges associated with climate adaptation, where economic benefits often </w:t>
      </w:r>
      <w:proofErr w:type="spellStart"/>
      <w:r w:rsidRPr="00D8358C">
        <w:rPr>
          <w:rFonts w:ascii="Avenir Next LT Pro" w:hAnsi="Avenir Next LT Pro"/>
          <w:sz w:val="22"/>
          <w:szCs w:val="22"/>
        </w:rPr>
        <w:t>materialise</w:t>
      </w:r>
      <w:proofErr w:type="spellEnd"/>
      <w:r w:rsidRPr="00D8358C">
        <w:rPr>
          <w:rFonts w:ascii="Avenir Next LT Pro" w:hAnsi="Avenir Next LT Pro"/>
          <w:sz w:val="22"/>
          <w:szCs w:val="22"/>
        </w:rPr>
        <w:t xml:space="preserve"> through avoided losses rather than predictable revenue streams. </w:t>
      </w:r>
      <w:r w:rsidRPr="00D8358C">
        <w:rPr>
          <w:rFonts w:ascii="Avenir Next LT Pro" w:hAnsi="Avenir Next LT Pro"/>
          <w:sz w:val="22"/>
          <w:szCs w:val="22"/>
        </w:rPr>
        <w:t>The UN Environment Program (</w:t>
      </w:r>
      <w:r w:rsidRPr="00D8358C">
        <w:rPr>
          <w:rFonts w:ascii="Avenir Next LT Pro" w:hAnsi="Avenir Next LT Pro"/>
          <w:sz w:val="22"/>
          <w:szCs w:val="22"/>
        </w:rPr>
        <w:t>UNEP</w:t>
      </w:r>
      <w:r w:rsidRPr="00D8358C">
        <w:rPr>
          <w:rFonts w:ascii="Avenir Next LT Pro" w:hAnsi="Avenir Next LT Pro"/>
          <w:sz w:val="22"/>
          <w:szCs w:val="22"/>
        </w:rPr>
        <w:t>)</w:t>
      </w:r>
      <w:r w:rsidRPr="00D8358C">
        <w:rPr>
          <w:rFonts w:ascii="Avenir Next LT Pro" w:hAnsi="Avenir Next LT Pro"/>
          <w:sz w:val="22"/>
          <w:szCs w:val="22"/>
        </w:rPr>
        <w:t xml:space="preserve"> estimates that developing countries will require USD 310–365 billion annually for adaptation by 2035, compared with international public adaptation finance flows of USD 26 billion in 2023 </w:t>
      </w:r>
      <w:r w:rsidRPr="00D8358C">
        <w:rPr>
          <w:rFonts w:ascii="Avenir Next LT Pro" w:hAnsi="Avenir Next LT Pro"/>
          <w:sz w:val="22"/>
          <w:szCs w:val="22"/>
        </w:rPr>
        <w:t>(</w:t>
      </w:r>
      <w:proofErr w:type="spellStart"/>
      <w:r w:rsidRPr="00D8358C">
        <w:rPr>
          <w:rFonts w:ascii="Avenir Next LT Pro" w:hAnsi="Avenir Next LT Pro"/>
          <w:sz w:val="22"/>
          <w:szCs w:val="22"/>
        </w:rPr>
        <w:t>cf</w:t>
      </w:r>
      <w:proofErr w:type="spellEnd"/>
      <w:r w:rsidRPr="00D8358C">
        <w:rPr>
          <w:rFonts w:ascii="Avenir Next LT Pro" w:hAnsi="Avenir Next LT Pro"/>
          <w:sz w:val="22"/>
          <w:szCs w:val="22"/>
        </w:rPr>
        <w:t xml:space="preserve"> 2025 </w:t>
      </w:r>
      <w:r w:rsidRPr="00D8358C">
        <w:rPr>
          <w:rFonts w:ascii="Avenir Next LT Pro" w:hAnsi="Avenir Next LT Pro"/>
          <w:sz w:val="22"/>
          <w:szCs w:val="22"/>
        </w:rPr>
        <w:t>UNEP</w:t>
      </w:r>
      <w:r w:rsidRPr="00D8358C">
        <w:rPr>
          <w:rFonts w:ascii="Avenir Next LT Pro" w:hAnsi="Avenir Next LT Pro"/>
          <w:sz w:val="22"/>
          <w:szCs w:val="22"/>
        </w:rPr>
        <w:t xml:space="preserve"> </w:t>
      </w:r>
      <w:r w:rsidRPr="00D8358C">
        <w:rPr>
          <w:rFonts w:ascii="Avenir Next LT Pro" w:hAnsi="Avenir Next LT Pro"/>
          <w:sz w:val="22"/>
          <w:szCs w:val="22"/>
        </w:rPr>
        <w:t>Adaptation Gap Report</w:t>
      </w:r>
      <w:r w:rsidRPr="00D8358C">
        <w:rPr>
          <w:rFonts w:ascii="Avenir Next LT Pro" w:hAnsi="Avenir Next LT Pro"/>
          <w:sz w:val="22"/>
          <w:szCs w:val="22"/>
        </w:rPr>
        <w:t>)</w:t>
      </w:r>
      <w:r w:rsidRPr="00D8358C">
        <w:rPr>
          <w:rFonts w:ascii="Avenir Next LT Pro" w:hAnsi="Avenir Next LT Pro"/>
          <w:sz w:val="22"/>
          <w:szCs w:val="22"/>
        </w:rPr>
        <w:t xml:space="preserve">. </w:t>
      </w:r>
      <w:r w:rsidRPr="00D8358C">
        <w:rPr>
          <w:rFonts w:ascii="Avenir Next LT Pro" w:hAnsi="Avenir Next LT Pro"/>
          <w:sz w:val="22"/>
          <w:szCs w:val="22"/>
        </w:rPr>
        <w:br/>
      </w:r>
    </w:p>
    <w:p w14:paraId="36D3F001" w14:textId="0039875A" w:rsidR="00DA096C" w:rsidRPr="00D8358C" w:rsidRDefault="00DA096C" w:rsidP="00DA096C">
      <w:pPr>
        <w:pStyle w:val="NormalWeb"/>
        <w:numPr>
          <w:ilvl w:val="0"/>
          <w:numId w:val="25"/>
        </w:numPr>
        <w:rPr>
          <w:rFonts w:ascii="Avenir Next LT Pro" w:hAnsi="Avenir Next LT Pro"/>
          <w:sz w:val="22"/>
          <w:szCs w:val="22"/>
        </w:rPr>
      </w:pPr>
      <w:proofErr w:type="spellStart"/>
      <w:r w:rsidRPr="00D8358C">
        <w:rPr>
          <w:rFonts w:ascii="Avenir Next LT Pro" w:hAnsi="Avenir Next LT Pro"/>
          <w:sz w:val="22"/>
          <w:szCs w:val="22"/>
        </w:rPr>
        <w:t>Mobilising</w:t>
      </w:r>
      <w:proofErr w:type="spellEnd"/>
      <w:r w:rsidRPr="00D8358C">
        <w:rPr>
          <w:rFonts w:ascii="Avenir Next LT Pro" w:hAnsi="Avenir Next LT Pro"/>
          <w:sz w:val="22"/>
          <w:szCs w:val="22"/>
        </w:rPr>
        <w:t xml:space="preserve"> private capital will require commercially viable business models, targeted guarantees, technical assistance and mechanisms to aggregate smaller projects. </w:t>
      </w:r>
      <w:proofErr w:type="gramStart"/>
      <w:r w:rsidRPr="00D8358C">
        <w:rPr>
          <w:rFonts w:ascii="Avenir Next LT Pro" w:hAnsi="Avenir Next LT Pro"/>
          <w:sz w:val="22"/>
          <w:szCs w:val="22"/>
        </w:rPr>
        <w:t>Particular attention</w:t>
      </w:r>
      <w:proofErr w:type="gramEnd"/>
      <w:r w:rsidRPr="00D8358C">
        <w:rPr>
          <w:rFonts w:ascii="Avenir Next LT Pro" w:hAnsi="Avenir Next LT Pro"/>
          <w:sz w:val="22"/>
          <w:szCs w:val="22"/>
        </w:rPr>
        <w:t xml:space="preserve"> should be given to SMEs and local authorities, which frequently face high transaction costs, limited financing capacity and difficulties accessing support schemes. The OECD should </w:t>
      </w:r>
      <w:r w:rsidRPr="00D8358C">
        <w:rPr>
          <w:rFonts w:ascii="Avenir Next LT Pro" w:hAnsi="Avenir Next LT Pro"/>
          <w:sz w:val="22"/>
          <w:szCs w:val="22"/>
        </w:rPr>
        <w:t xml:space="preserve">therefore </w:t>
      </w:r>
      <w:r w:rsidRPr="00D8358C">
        <w:rPr>
          <w:rFonts w:ascii="Avenir Next LT Pro" w:hAnsi="Avenir Next LT Pro"/>
          <w:sz w:val="22"/>
          <w:szCs w:val="22"/>
        </w:rPr>
        <w:t>identify practical approaches to improve the bankability and scalability of adaptation investments, including through public-private partnerships and dedicated project preparation support.</w:t>
      </w:r>
    </w:p>
    <w:p w14:paraId="7BAB1A9F" w14:textId="77777777" w:rsidR="00DA096C" w:rsidRPr="00D8358C" w:rsidRDefault="00DA096C" w:rsidP="00DA096C">
      <w:pPr>
        <w:pStyle w:val="NormalWeb"/>
        <w:rPr>
          <w:rFonts w:ascii="Avenir Next LT Pro" w:hAnsi="Avenir Next LT Pro"/>
          <w:sz w:val="22"/>
          <w:szCs w:val="22"/>
        </w:rPr>
      </w:pPr>
    </w:p>
    <w:p w14:paraId="6E2931CE" w14:textId="3A0A4A75" w:rsidR="00DA096C" w:rsidRPr="00D8358C" w:rsidRDefault="00DA096C" w:rsidP="00DA096C">
      <w:pPr>
        <w:pStyle w:val="NormalWeb"/>
        <w:rPr>
          <w:rFonts w:ascii="Avenir Next LT Pro" w:hAnsi="Avenir Next LT Pro"/>
          <w:b/>
          <w:bCs/>
          <w:sz w:val="22"/>
          <w:szCs w:val="22"/>
        </w:rPr>
      </w:pPr>
      <w:r w:rsidRPr="00D8358C">
        <w:rPr>
          <w:rFonts w:ascii="Avenir Next LT Pro" w:hAnsi="Avenir Next LT Pro"/>
          <w:b/>
          <w:bCs/>
          <w:sz w:val="22"/>
          <w:szCs w:val="22"/>
        </w:rPr>
        <w:t>6. Strengthen the OECD's role in addressing cross-border policy fragmentation</w:t>
      </w:r>
    </w:p>
    <w:p w14:paraId="3FFC008D" w14:textId="55B57363" w:rsidR="008A34C2" w:rsidRPr="00D8358C" w:rsidRDefault="00DA096C" w:rsidP="008A34C2">
      <w:pPr>
        <w:pStyle w:val="NormalWeb"/>
        <w:numPr>
          <w:ilvl w:val="0"/>
          <w:numId w:val="26"/>
        </w:numPr>
        <w:rPr>
          <w:rFonts w:ascii="Avenir Next LT Pro" w:hAnsi="Avenir Next LT Pro"/>
          <w:sz w:val="22"/>
          <w:szCs w:val="22"/>
        </w:rPr>
      </w:pPr>
      <w:r w:rsidRPr="00D8358C">
        <w:rPr>
          <w:rFonts w:ascii="Avenir Next LT Pro" w:hAnsi="Avenir Next LT Pro"/>
          <w:sz w:val="22"/>
          <w:szCs w:val="22"/>
        </w:rPr>
        <w:t>BIAC welcomes the report's comparative approach and encourages the OECD to further examine how differences in regulatory frameworks, sustainable finance requirements and public support mechanisms affect international investment decisions. The number of green taxonomies worldwide approximately doubled between 2023 and 2025, reaching around 50 frameworks</w:t>
      </w:r>
      <w:r w:rsidR="008A34C2" w:rsidRPr="00D8358C">
        <w:rPr>
          <w:rFonts w:ascii="Avenir Next LT Pro" w:hAnsi="Avenir Next LT Pro"/>
          <w:sz w:val="22"/>
          <w:szCs w:val="22"/>
        </w:rPr>
        <w:t>.</w:t>
      </w:r>
      <w:r w:rsidR="008A34C2" w:rsidRPr="00D8358C">
        <w:rPr>
          <w:rFonts w:ascii="Avenir Next LT Pro" w:hAnsi="Avenir Next LT Pro"/>
          <w:sz w:val="22"/>
          <w:szCs w:val="22"/>
        </w:rPr>
        <w:br/>
      </w:r>
    </w:p>
    <w:p w14:paraId="0DEB22C4" w14:textId="520EF1CC" w:rsidR="00F841BF" w:rsidRPr="00D8358C" w:rsidRDefault="00DA096C" w:rsidP="008A34C2">
      <w:pPr>
        <w:pStyle w:val="NormalWeb"/>
        <w:numPr>
          <w:ilvl w:val="0"/>
          <w:numId w:val="26"/>
        </w:numPr>
        <w:rPr>
          <w:rFonts w:ascii="Avenir Next LT Pro" w:hAnsi="Avenir Next LT Pro"/>
          <w:sz w:val="22"/>
          <w:szCs w:val="22"/>
        </w:rPr>
      </w:pPr>
      <w:r w:rsidRPr="00D8358C">
        <w:rPr>
          <w:rFonts w:ascii="Avenir Next LT Pro" w:hAnsi="Avenir Next LT Pro"/>
          <w:sz w:val="22"/>
          <w:szCs w:val="22"/>
        </w:rPr>
        <w:t xml:space="preserve">Building on </w:t>
      </w:r>
      <w:hyperlink r:id="rId9" w:history="1">
        <w:r w:rsidRPr="00D8358C">
          <w:rPr>
            <w:rStyle w:val="Hyperlink"/>
            <w:rFonts w:ascii="Avenir Next LT Pro" w:hAnsi="Avenir Next LT Pro"/>
            <w:sz w:val="22"/>
            <w:szCs w:val="22"/>
          </w:rPr>
          <w:t>BIAC's recommendations on ESG reporting convergence</w:t>
        </w:r>
      </w:hyperlink>
      <w:r w:rsidRPr="00D8358C">
        <w:rPr>
          <w:rFonts w:ascii="Avenir Next LT Pro" w:hAnsi="Avenir Next LT Pro"/>
          <w:sz w:val="22"/>
          <w:szCs w:val="22"/>
        </w:rPr>
        <w:t>, the OECD should promote interoperability, identify unnecessary administrative barriers and assess the cumulative effects of climate-related incentives and industrial policies on competition and capital allocation</w:t>
      </w:r>
      <w:r w:rsidR="008A34C2" w:rsidRPr="00D8358C">
        <w:rPr>
          <w:rFonts w:ascii="Avenir Next LT Pro" w:hAnsi="Avenir Next LT Pro"/>
          <w:sz w:val="22"/>
          <w:szCs w:val="22"/>
        </w:rPr>
        <w:t xml:space="preserve">. </w:t>
      </w:r>
      <w:r w:rsidRPr="00D8358C">
        <w:rPr>
          <w:rFonts w:ascii="Avenir Next LT Pro" w:hAnsi="Avenir Next LT Pro"/>
          <w:sz w:val="22"/>
          <w:szCs w:val="22"/>
        </w:rPr>
        <w:t>Structured consultation with business and financial market participants should be central to this work.</w:t>
      </w:r>
    </w:p>
    <w:p w14:paraId="1B5A6651" w14:textId="77777777" w:rsidR="00F841BF" w:rsidRPr="00D8358C" w:rsidRDefault="00F841BF" w:rsidP="00F841BF">
      <w:pPr>
        <w:jc w:val="center"/>
        <w:rPr>
          <w:rFonts w:ascii="Avenir Next LT Pro" w:hAnsi="Avenir Next LT Pro"/>
          <w:b/>
          <w:color w:val="2E2E77"/>
          <w:sz w:val="22"/>
        </w:rPr>
      </w:pPr>
    </w:p>
    <w:p w14:paraId="3B4AD5FC" w14:textId="0E81B7FF" w:rsidR="00F841BF" w:rsidRPr="00D8358C" w:rsidRDefault="00F841BF" w:rsidP="00F841BF">
      <w:pPr>
        <w:jc w:val="center"/>
        <w:rPr>
          <w:rFonts w:ascii="Avenir Next LT Pro" w:hAnsi="Avenir Next LT Pro"/>
          <w:sz w:val="22"/>
        </w:rPr>
      </w:pPr>
      <w:r w:rsidRPr="00D8358C">
        <w:rPr>
          <w:rFonts w:ascii="Avenir Next LT Pro" w:hAnsi="Avenir Next LT Pro"/>
          <w:b/>
          <w:i/>
          <w:iCs/>
          <w:color w:val="2E2E77"/>
          <w:sz w:val="22"/>
        </w:rPr>
        <w:t>Business at OECD</w:t>
      </w:r>
      <w:r w:rsidRPr="00D8358C">
        <w:rPr>
          <w:rFonts w:ascii="Avenir Next LT Pro" w:hAnsi="Avenir Next LT Pro"/>
          <w:b/>
          <w:color w:val="2E2E77"/>
          <w:sz w:val="22"/>
        </w:rPr>
        <w:t xml:space="preserve"> Comments on the </w:t>
      </w:r>
      <w:r w:rsidR="008A34C2" w:rsidRPr="00D8358C">
        <w:rPr>
          <w:rFonts w:ascii="Avenir Next LT Pro" w:hAnsi="Avenir Next LT Pro"/>
          <w:b/>
          <w:color w:val="2E2E77"/>
          <w:sz w:val="22"/>
        </w:rPr>
        <w:t>draft OECD Sustainable Finance Survey</w:t>
      </w:r>
    </w:p>
    <w:p w14:paraId="2DE76E96" w14:textId="5E283BC4" w:rsidR="00EB5914" w:rsidRPr="00D8358C" w:rsidRDefault="00EB5914" w:rsidP="00F841BF">
      <w:pPr>
        <w:jc w:val="center"/>
        <w:rPr>
          <w:rFonts w:ascii="Avenir Next LT Pro" w:eastAsia="Times New Roman" w:hAnsi="Avenir Next LT Pro" w:cs="Times New Roman"/>
          <w:b/>
          <w:bCs/>
          <w:sz w:val="22"/>
        </w:rPr>
      </w:pPr>
      <w:r w:rsidRPr="00D8358C">
        <w:rPr>
          <w:rFonts w:ascii="Avenir Next LT Pro" w:eastAsia="Times New Roman" w:hAnsi="Avenir Next LT Pro" w:cs="Times New Roman"/>
          <w:b/>
          <w:bCs/>
          <w:sz w:val="22"/>
        </w:rPr>
        <w:t>DAF/</w:t>
      </w:r>
      <w:r w:rsidR="008A34C2" w:rsidRPr="00D8358C">
        <w:rPr>
          <w:rFonts w:ascii="Avenir Next LT Pro" w:eastAsia="Times New Roman" w:hAnsi="Avenir Next LT Pro" w:cs="Times New Roman"/>
          <w:b/>
          <w:bCs/>
          <w:sz w:val="22"/>
        </w:rPr>
        <w:t>CMF/</w:t>
      </w:r>
      <w:proofErr w:type="gramStart"/>
      <w:r w:rsidR="008A34C2" w:rsidRPr="00D8358C">
        <w:rPr>
          <w:rFonts w:ascii="Avenir Next LT Pro" w:eastAsia="Times New Roman" w:hAnsi="Avenir Next LT Pro" w:cs="Times New Roman"/>
          <w:b/>
          <w:bCs/>
          <w:sz w:val="22"/>
        </w:rPr>
        <w:t>SF(</w:t>
      </w:r>
      <w:proofErr w:type="gramEnd"/>
      <w:r w:rsidR="008A34C2" w:rsidRPr="00D8358C">
        <w:rPr>
          <w:rFonts w:ascii="Avenir Next LT Pro" w:eastAsia="Times New Roman" w:hAnsi="Avenir Next LT Pro" w:cs="Times New Roman"/>
          <w:b/>
          <w:bCs/>
          <w:sz w:val="22"/>
        </w:rPr>
        <w:t>2026)4</w:t>
      </w:r>
    </w:p>
    <w:p w14:paraId="3772F1C7" w14:textId="36ACAAEB" w:rsidR="00F841BF" w:rsidRPr="00D8358C" w:rsidRDefault="00F841BF" w:rsidP="00F841BF">
      <w:pPr>
        <w:jc w:val="center"/>
        <w:rPr>
          <w:rFonts w:ascii="Avenir Next LT Pro" w:hAnsi="Avenir Next LT Pro"/>
          <w:color w:val="2E2E77"/>
          <w:sz w:val="22"/>
        </w:rPr>
      </w:pPr>
      <w:r w:rsidRPr="00D8358C">
        <w:rPr>
          <w:rFonts w:ascii="Avenir Next LT Pro" w:hAnsi="Avenir Next LT Pro"/>
          <w:color w:val="2E2E77"/>
          <w:sz w:val="22"/>
        </w:rPr>
        <w:t>1</w:t>
      </w:r>
      <w:r w:rsidR="008A34C2" w:rsidRPr="00D8358C">
        <w:rPr>
          <w:rFonts w:ascii="Avenir Next LT Pro" w:hAnsi="Avenir Next LT Pro"/>
          <w:color w:val="2E2E77"/>
          <w:sz w:val="22"/>
        </w:rPr>
        <w:t>5</w:t>
      </w:r>
      <w:r w:rsidRPr="00D8358C">
        <w:rPr>
          <w:rFonts w:ascii="Avenir Next LT Pro" w:hAnsi="Avenir Next LT Pro"/>
          <w:color w:val="2E2E77"/>
          <w:sz w:val="22"/>
        </w:rPr>
        <w:t xml:space="preserve"> October 2026</w:t>
      </w:r>
    </w:p>
    <w:p w14:paraId="022347E5" w14:textId="77777777" w:rsidR="00226E05" w:rsidRPr="00D8358C" w:rsidRDefault="00226E05" w:rsidP="00F841BF">
      <w:pPr>
        <w:jc w:val="center"/>
        <w:rPr>
          <w:rFonts w:ascii="Avenir Next LT Pro" w:hAnsi="Avenir Next LT Pro"/>
          <w:color w:val="2E2E77"/>
          <w:sz w:val="22"/>
        </w:rPr>
      </w:pPr>
    </w:p>
    <w:p w14:paraId="56DE78AE" w14:textId="77777777" w:rsidR="008A34C2" w:rsidRPr="00D8358C" w:rsidRDefault="008A34C2" w:rsidP="008A34C2">
      <w:pPr>
        <w:pStyle w:val="ListParagraph"/>
        <w:numPr>
          <w:ilvl w:val="0"/>
          <w:numId w:val="27"/>
        </w:numPr>
        <w:ind w:left="810" w:hanging="450"/>
        <w:rPr>
          <w:rFonts w:ascii="Avenir Next LT Pro" w:hAnsi="Avenir Next LT Pro"/>
          <w:sz w:val="22"/>
        </w:rPr>
      </w:pPr>
      <w:r w:rsidRPr="00D8358C">
        <w:rPr>
          <w:rFonts w:ascii="Avenir Next LT Pro" w:hAnsi="Avenir Next LT Pro"/>
          <w:i/>
          <w:iCs/>
          <w:sz w:val="22"/>
        </w:rPr>
        <w:t>Business at OECD</w:t>
      </w:r>
      <w:r w:rsidRPr="00D8358C">
        <w:rPr>
          <w:rFonts w:ascii="Avenir Next LT Pro" w:hAnsi="Avenir Next LT Pro"/>
          <w:sz w:val="22"/>
        </w:rPr>
        <w:t xml:space="preserve"> (BIAC) welcomes the inaugural OECD Sustainable Finance Survey and its comprehensive assessment of regulatory frameworks and market practices. We particularly appreciate its evidence-based approach and encourage the OECD to focus on four priorities:</w:t>
      </w:r>
    </w:p>
    <w:p w14:paraId="77FA26D7" w14:textId="77777777" w:rsidR="00226E05" w:rsidRPr="00D8358C" w:rsidRDefault="00226E05" w:rsidP="008A34C2">
      <w:pPr>
        <w:pStyle w:val="ListParagraph"/>
        <w:rPr>
          <w:rFonts w:ascii="Avenir Next LT Pro" w:hAnsi="Avenir Next LT Pro"/>
          <w:sz w:val="22"/>
        </w:rPr>
      </w:pPr>
    </w:p>
    <w:p w14:paraId="201A75A5" w14:textId="48912B8C" w:rsidR="008A34C2" w:rsidRPr="00D8358C" w:rsidRDefault="008A34C2" w:rsidP="008A34C2">
      <w:pPr>
        <w:rPr>
          <w:rFonts w:ascii="Avenir Next LT Pro" w:hAnsi="Avenir Next LT Pro"/>
          <w:sz w:val="22"/>
        </w:rPr>
      </w:pPr>
      <w:r w:rsidRPr="00D8358C">
        <w:rPr>
          <w:rFonts w:ascii="Avenir Next LT Pro" w:hAnsi="Avenir Next LT Pro"/>
          <w:b/>
          <w:bCs/>
          <w:sz w:val="22"/>
        </w:rPr>
        <w:t>1. Reduce fragmentation in sustainability reporting</w:t>
      </w:r>
    </w:p>
    <w:p w14:paraId="321FF5B0" w14:textId="5AF672FA" w:rsidR="008A34C2" w:rsidRPr="00D8358C" w:rsidRDefault="008A34C2" w:rsidP="008A34C2">
      <w:pPr>
        <w:pStyle w:val="ListParagraph"/>
        <w:numPr>
          <w:ilvl w:val="0"/>
          <w:numId w:val="28"/>
        </w:numPr>
        <w:rPr>
          <w:rFonts w:ascii="Avenir Next LT Pro" w:hAnsi="Avenir Next LT Pro"/>
          <w:sz w:val="22"/>
        </w:rPr>
      </w:pPr>
      <w:r w:rsidRPr="00D8358C">
        <w:rPr>
          <w:rFonts w:ascii="Avenir Next LT Pro" w:hAnsi="Avenir Next LT Pro"/>
          <w:sz w:val="22"/>
        </w:rPr>
        <w:t>BIAC encourages the OECD to identify regulatory divergences between sustainability reporting standards and propose practical solutions to improve interoperability. The Survey should highlight opportunities to eliminate duplicative requirements, reduce compliance costs and simplify reporting, particularly for smaller financial institutions</w:t>
      </w:r>
      <w:r w:rsidRPr="00D8358C">
        <w:rPr>
          <w:rFonts w:ascii="Avenir Next LT Pro" w:hAnsi="Avenir Next LT Pro"/>
          <w:sz w:val="22"/>
        </w:rPr>
        <w:t>.</w:t>
      </w:r>
    </w:p>
    <w:p w14:paraId="6D5980A4" w14:textId="77777777" w:rsidR="008A34C2" w:rsidRPr="00D8358C" w:rsidRDefault="008A34C2" w:rsidP="008A34C2">
      <w:pPr>
        <w:pStyle w:val="ListParagraph"/>
        <w:rPr>
          <w:rFonts w:ascii="Avenir Next LT Pro" w:hAnsi="Avenir Next LT Pro"/>
          <w:sz w:val="22"/>
        </w:rPr>
      </w:pPr>
    </w:p>
    <w:p w14:paraId="0F212400" w14:textId="04406910" w:rsidR="008A34C2" w:rsidRPr="00D8358C" w:rsidRDefault="008A34C2" w:rsidP="008A34C2">
      <w:pPr>
        <w:rPr>
          <w:rFonts w:ascii="Avenir Next LT Pro" w:hAnsi="Avenir Next LT Pro"/>
          <w:sz w:val="22"/>
        </w:rPr>
      </w:pPr>
      <w:r w:rsidRPr="00D8358C">
        <w:rPr>
          <w:rFonts w:ascii="Avenir Next LT Pro" w:hAnsi="Avenir Next LT Pro"/>
          <w:b/>
          <w:bCs/>
          <w:sz w:val="22"/>
        </w:rPr>
        <w:t>2. Promote proportionate assurance and governance requirements</w:t>
      </w:r>
    </w:p>
    <w:p w14:paraId="056EDD49" w14:textId="77777777" w:rsidR="008A34C2" w:rsidRPr="00D8358C" w:rsidRDefault="008A34C2" w:rsidP="008A34C2">
      <w:pPr>
        <w:pStyle w:val="ListParagraph"/>
        <w:numPr>
          <w:ilvl w:val="0"/>
          <w:numId w:val="29"/>
        </w:numPr>
        <w:rPr>
          <w:rFonts w:ascii="Avenir Next LT Pro" w:hAnsi="Avenir Next LT Pro"/>
          <w:sz w:val="22"/>
        </w:rPr>
      </w:pPr>
      <w:r w:rsidRPr="00D8358C">
        <w:rPr>
          <w:rFonts w:ascii="Avenir Next LT Pro" w:hAnsi="Avenir Next LT Pro"/>
          <w:sz w:val="22"/>
        </w:rPr>
        <w:t>BIAC encourages the OECD to identify good practices that strengthen disclosure credibility and effective risk management without creating unnecessary compliance burdens. The Survey should highlight flexible assurance approaches and governance arrangements tailored to institutions' size, complexity and risk profiles, rather than promoting uniform requirements.</w:t>
      </w:r>
    </w:p>
    <w:p w14:paraId="76CDFAFD" w14:textId="77777777" w:rsidR="008A34C2" w:rsidRPr="00D8358C" w:rsidRDefault="008A34C2" w:rsidP="008A34C2">
      <w:pPr>
        <w:pStyle w:val="ListParagraph"/>
        <w:rPr>
          <w:rFonts w:ascii="Avenir Next LT Pro" w:hAnsi="Avenir Next LT Pro"/>
          <w:sz w:val="22"/>
        </w:rPr>
      </w:pPr>
    </w:p>
    <w:p w14:paraId="092BDF5D" w14:textId="6858CEF1" w:rsidR="008A34C2" w:rsidRPr="00D8358C" w:rsidRDefault="008A34C2" w:rsidP="008A34C2">
      <w:pPr>
        <w:rPr>
          <w:rFonts w:ascii="Avenir Next LT Pro" w:hAnsi="Avenir Next LT Pro"/>
          <w:sz w:val="22"/>
        </w:rPr>
      </w:pPr>
      <w:r w:rsidRPr="00D8358C">
        <w:rPr>
          <w:rFonts w:ascii="Avenir Next LT Pro" w:hAnsi="Avenir Next LT Pro"/>
          <w:b/>
          <w:bCs/>
          <w:sz w:val="22"/>
        </w:rPr>
        <w:t>3. Ensure climate-risk supervision and transition planning remain risk-based</w:t>
      </w:r>
    </w:p>
    <w:p w14:paraId="73249BD8" w14:textId="77777777" w:rsidR="008A34C2" w:rsidRPr="00D8358C" w:rsidRDefault="008A34C2" w:rsidP="008A34C2">
      <w:pPr>
        <w:pStyle w:val="ListParagraph"/>
        <w:numPr>
          <w:ilvl w:val="0"/>
          <w:numId w:val="29"/>
        </w:numPr>
        <w:rPr>
          <w:rFonts w:ascii="Avenir Next LT Pro" w:hAnsi="Avenir Next LT Pro"/>
          <w:sz w:val="22"/>
        </w:rPr>
      </w:pPr>
      <w:r w:rsidRPr="00D8358C">
        <w:rPr>
          <w:rFonts w:ascii="Avenir Next LT Pro" w:hAnsi="Avenir Next LT Pro"/>
          <w:sz w:val="22"/>
        </w:rPr>
        <w:t>BIAC encourages the OECD to identify supervisory approaches that reflect institutions' actual climate-related financial exposures and integrate transition planning into existing risk-management frameworks. The Survey should distinguish financial risk management from broader emissions-reduction objectives and highlight ways to avoid overlapping reporting obligations.</w:t>
      </w:r>
    </w:p>
    <w:p w14:paraId="3D2326D6" w14:textId="77777777" w:rsidR="008A34C2" w:rsidRPr="00D8358C" w:rsidRDefault="008A34C2" w:rsidP="008A34C2">
      <w:pPr>
        <w:pStyle w:val="ListParagraph"/>
        <w:rPr>
          <w:rFonts w:ascii="Avenir Next LT Pro" w:hAnsi="Avenir Next LT Pro"/>
          <w:sz w:val="22"/>
        </w:rPr>
      </w:pPr>
    </w:p>
    <w:p w14:paraId="5E7B9BFD" w14:textId="360B3E10" w:rsidR="008A34C2" w:rsidRPr="00D8358C" w:rsidRDefault="008A34C2" w:rsidP="008A34C2">
      <w:pPr>
        <w:rPr>
          <w:rFonts w:ascii="Avenir Next LT Pro" w:hAnsi="Avenir Next LT Pro"/>
          <w:sz w:val="22"/>
        </w:rPr>
      </w:pPr>
      <w:r w:rsidRPr="00D8358C">
        <w:rPr>
          <w:rFonts w:ascii="Avenir Next LT Pro" w:hAnsi="Avenir Next LT Pro"/>
          <w:b/>
          <w:bCs/>
          <w:sz w:val="22"/>
        </w:rPr>
        <w:t>4. Strengthen interoperability across sustainable investment products</w:t>
      </w:r>
    </w:p>
    <w:p w14:paraId="471C0FC0" w14:textId="761499D6" w:rsidR="008A34C2" w:rsidRPr="00D8358C" w:rsidRDefault="008A34C2" w:rsidP="008A34C2">
      <w:pPr>
        <w:pStyle w:val="ListParagraph"/>
        <w:numPr>
          <w:ilvl w:val="0"/>
          <w:numId w:val="29"/>
        </w:numPr>
        <w:rPr>
          <w:rFonts w:ascii="Avenir Next LT Pro" w:hAnsi="Avenir Next LT Pro"/>
          <w:sz w:val="22"/>
        </w:rPr>
      </w:pPr>
      <w:r w:rsidRPr="00D8358C">
        <w:rPr>
          <w:rFonts w:ascii="Avenir Next LT Pro" w:hAnsi="Avenir Next LT Pro"/>
          <w:sz w:val="22"/>
        </w:rPr>
        <w:t>BIAC encourages the OECD to map inconsistencies between sustainable bond standards, taxonomies and investment fund labelling regimes</w:t>
      </w:r>
      <w:r w:rsidRPr="00D8358C">
        <w:rPr>
          <w:rFonts w:ascii="Avenir Next LT Pro" w:hAnsi="Avenir Next LT Pro"/>
          <w:sz w:val="22"/>
        </w:rPr>
        <w:t xml:space="preserve"> as well as identifying </w:t>
      </w:r>
      <w:r w:rsidRPr="00D8358C">
        <w:rPr>
          <w:rFonts w:ascii="Avenir Next LT Pro" w:hAnsi="Avenir Next LT Pro"/>
          <w:sz w:val="22"/>
        </w:rPr>
        <w:t>practical opportunities for convergence. Greater regulatory coherence should facilitate cross-border investment, protect investors and accommodate credible transition financing without restricting financial innovation.</w:t>
      </w:r>
    </w:p>
    <w:p w14:paraId="2918B77A" w14:textId="77777777" w:rsidR="00226E05" w:rsidRPr="00D8358C" w:rsidRDefault="00226E05" w:rsidP="00226E05">
      <w:pPr>
        <w:rPr>
          <w:rFonts w:ascii="Avenir Next LT Pro" w:hAnsi="Avenir Next LT Pro"/>
          <w:sz w:val="22"/>
        </w:rPr>
      </w:pPr>
    </w:p>
    <w:p w14:paraId="440B0245" w14:textId="77777777" w:rsidR="003521B5" w:rsidRPr="00D8358C" w:rsidRDefault="003521B5">
      <w:pPr>
        <w:spacing w:before="180" w:after="120"/>
        <w:rPr>
          <w:rFonts w:ascii="Avenir Next LT Pro" w:hAnsi="Avenir Next LT Pro"/>
          <w:color w:val="41B2DA"/>
          <w:sz w:val="22"/>
        </w:rPr>
      </w:pPr>
    </w:p>
    <w:p w14:paraId="64C6F044" w14:textId="4FFEA24B" w:rsidR="008A34C2" w:rsidRPr="00D8358C" w:rsidRDefault="008A34C2" w:rsidP="008A34C2">
      <w:pPr>
        <w:jc w:val="center"/>
        <w:rPr>
          <w:rFonts w:ascii="Avenir Next LT Pro" w:hAnsi="Avenir Next LT Pro"/>
          <w:b/>
          <w:color w:val="2E2E77"/>
          <w:sz w:val="22"/>
        </w:rPr>
      </w:pPr>
      <w:r w:rsidRPr="00D8358C">
        <w:rPr>
          <w:rFonts w:ascii="Avenir Next LT Pro" w:hAnsi="Avenir Next LT Pro"/>
          <w:b/>
          <w:i/>
          <w:iCs/>
          <w:color w:val="2E2E77"/>
          <w:sz w:val="22"/>
        </w:rPr>
        <w:t>Business at OECD</w:t>
      </w:r>
      <w:r w:rsidRPr="00D8358C">
        <w:rPr>
          <w:rFonts w:ascii="Avenir Next LT Pro" w:hAnsi="Avenir Next LT Pro"/>
          <w:b/>
          <w:color w:val="2E2E77"/>
          <w:sz w:val="22"/>
        </w:rPr>
        <w:t xml:space="preserve"> Comments on the </w:t>
      </w:r>
      <w:r w:rsidRPr="00D8358C">
        <w:rPr>
          <w:rFonts w:ascii="Avenir Next LT Pro" w:hAnsi="Avenir Next LT Pro"/>
          <w:b/>
          <w:color w:val="2E2E77"/>
          <w:sz w:val="22"/>
        </w:rPr>
        <w:t>discussion on Supporting Liquidity in Primary and Secondary Government Bond Markets</w:t>
      </w:r>
    </w:p>
    <w:p w14:paraId="6DD969B0" w14:textId="31AC21CE" w:rsidR="008A34C2" w:rsidRPr="00D8358C" w:rsidRDefault="008A34C2" w:rsidP="008A34C2">
      <w:pPr>
        <w:jc w:val="center"/>
        <w:rPr>
          <w:rFonts w:ascii="Avenir Next LT Pro" w:eastAsia="Times New Roman" w:hAnsi="Avenir Next LT Pro" w:cs="Times New Roman"/>
          <w:b/>
          <w:bCs/>
          <w:sz w:val="22"/>
        </w:rPr>
      </w:pPr>
      <w:r w:rsidRPr="00D8358C">
        <w:rPr>
          <w:rFonts w:ascii="Avenir Next LT Pro" w:eastAsia="Times New Roman" w:hAnsi="Avenir Next LT Pro" w:cs="Times New Roman"/>
          <w:b/>
          <w:bCs/>
          <w:sz w:val="22"/>
        </w:rPr>
        <w:t>OECD Working Party on Debt Management</w:t>
      </w:r>
    </w:p>
    <w:p w14:paraId="48B8728F" w14:textId="3580F73A" w:rsidR="008A34C2" w:rsidRPr="00D8358C" w:rsidRDefault="008A34C2" w:rsidP="008A34C2">
      <w:pPr>
        <w:pStyle w:val="ListParagraph"/>
        <w:numPr>
          <w:ilvl w:val="0"/>
          <w:numId w:val="30"/>
        </w:numPr>
        <w:jc w:val="center"/>
        <w:rPr>
          <w:rFonts w:ascii="Avenir Next LT Pro" w:hAnsi="Avenir Next LT Pro"/>
          <w:color w:val="2E2E77"/>
          <w:sz w:val="22"/>
        </w:rPr>
      </w:pPr>
      <w:r w:rsidRPr="00D8358C">
        <w:rPr>
          <w:rFonts w:ascii="Avenir Next LT Pro" w:hAnsi="Avenir Next LT Pro"/>
          <w:color w:val="2E2E77"/>
          <w:sz w:val="22"/>
        </w:rPr>
        <w:t>October 2026</w:t>
      </w:r>
    </w:p>
    <w:p w14:paraId="50F412F9" w14:textId="77777777" w:rsidR="008A34C2" w:rsidRPr="00D8358C" w:rsidRDefault="008A34C2" w:rsidP="008A34C2">
      <w:pPr>
        <w:pStyle w:val="NormalWeb"/>
        <w:numPr>
          <w:ilvl w:val="0"/>
          <w:numId w:val="29"/>
        </w:numPr>
        <w:rPr>
          <w:rFonts w:ascii="Avenir Next LT Pro" w:hAnsi="Avenir Next LT Pro"/>
          <w:sz w:val="22"/>
          <w:szCs w:val="22"/>
        </w:rPr>
      </w:pPr>
      <w:r w:rsidRPr="00D8358C">
        <w:rPr>
          <w:rFonts w:ascii="Avenir Next LT Pro" w:hAnsi="Avenir Next LT Pro"/>
          <w:i/>
          <w:iCs/>
          <w:sz w:val="22"/>
          <w:szCs w:val="22"/>
        </w:rPr>
        <w:t>Business at OECD</w:t>
      </w:r>
      <w:r w:rsidRPr="00D8358C">
        <w:rPr>
          <w:rFonts w:ascii="Avenir Next LT Pro" w:hAnsi="Avenir Next LT Pro"/>
          <w:sz w:val="22"/>
          <w:szCs w:val="22"/>
        </w:rPr>
        <w:t xml:space="preserve"> (BIAC) welcomes the Working Party's focus on sovereign bond market liquidity amid rising borrowing requirements and changing market structures. OECD gross borrowing is projected to reach USD 18 trillion in 2026. Strong intermediation capacity and efficient funding markets are essential to containing financing costs, supporting financial stability and preserving access to capital for businesses. </w:t>
      </w:r>
      <w:r w:rsidRPr="00D8358C">
        <w:rPr>
          <w:rFonts w:ascii="Avenir Next LT Pro" w:hAnsi="Avenir Next LT Pro"/>
          <w:sz w:val="22"/>
          <w:szCs w:val="22"/>
        </w:rPr>
        <w:t xml:space="preserve">Hence our four priorities for this discussion: </w:t>
      </w:r>
    </w:p>
    <w:p w14:paraId="50E8EFBD" w14:textId="7226BD4A" w:rsidR="008A34C2" w:rsidRPr="00D8358C" w:rsidRDefault="008A34C2" w:rsidP="008A34C2">
      <w:pPr>
        <w:pStyle w:val="NormalWeb"/>
        <w:rPr>
          <w:rFonts w:ascii="Avenir Next LT Pro" w:hAnsi="Avenir Next LT Pro"/>
          <w:sz w:val="22"/>
          <w:szCs w:val="22"/>
        </w:rPr>
      </w:pPr>
      <w:r w:rsidRPr="00D8358C">
        <w:rPr>
          <w:rStyle w:val="Strong"/>
          <w:rFonts w:ascii="Avenir Next LT Pro" w:hAnsi="Avenir Next LT Pro"/>
          <w:sz w:val="22"/>
          <w:szCs w:val="22"/>
        </w:rPr>
        <w:t>1. Preserve primary dealers' capacity to support sovereign bond markets</w:t>
      </w:r>
    </w:p>
    <w:p w14:paraId="5968322E" w14:textId="7A3FBA45" w:rsidR="008A34C2" w:rsidRPr="00D8358C" w:rsidRDefault="008A34C2" w:rsidP="008A34C2">
      <w:pPr>
        <w:pStyle w:val="NormalWeb"/>
        <w:numPr>
          <w:ilvl w:val="0"/>
          <w:numId w:val="29"/>
        </w:numPr>
        <w:rPr>
          <w:rFonts w:ascii="Avenir Next LT Pro" w:hAnsi="Avenir Next LT Pro"/>
          <w:sz w:val="22"/>
          <w:szCs w:val="22"/>
        </w:rPr>
      </w:pPr>
      <w:r w:rsidRPr="00D8358C">
        <w:rPr>
          <w:rFonts w:ascii="Avenir Next LT Pro" w:hAnsi="Avenir Next LT Pro"/>
          <w:sz w:val="22"/>
          <w:szCs w:val="22"/>
        </w:rPr>
        <w:t xml:space="preserve">BIAC encourages the OECD to assess how prudential requirements, particularly leverage ratio constraints, affect banks' capacity to absorb sovereign issuance and provide secondary-market liquidity. The importance of liquidity is confirmed by a survey of 202 investors representing 143 institutions in the French government bond market, where 88.7% identified liquidity as a very important criterion </w:t>
      </w:r>
      <w:r w:rsidRPr="00D8358C">
        <w:rPr>
          <w:rFonts w:ascii="Avenir Next LT Pro" w:hAnsi="Avenir Next LT Pro"/>
          <w:sz w:val="22"/>
          <w:szCs w:val="22"/>
        </w:rPr>
        <w:t>(</w:t>
      </w:r>
      <w:proofErr w:type="spellStart"/>
      <w:r w:rsidRPr="00D8358C">
        <w:rPr>
          <w:rFonts w:ascii="Avenir Next LT Pro" w:hAnsi="Avenir Next LT Pro"/>
          <w:sz w:val="22"/>
          <w:szCs w:val="22"/>
        </w:rPr>
        <w:t>cf</w:t>
      </w:r>
      <w:proofErr w:type="spellEnd"/>
      <w:r w:rsidRPr="00D8358C">
        <w:rPr>
          <w:rFonts w:ascii="Avenir Next LT Pro" w:hAnsi="Avenir Next LT Pro"/>
          <w:sz w:val="22"/>
          <w:szCs w:val="22"/>
        </w:rPr>
        <w:t xml:space="preserve"> </w:t>
      </w:r>
      <w:r w:rsidRPr="00D8358C">
        <w:rPr>
          <w:rFonts w:ascii="Avenir Next LT Pro" w:hAnsi="Avenir Next LT Pro"/>
          <w:sz w:val="22"/>
          <w:szCs w:val="22"/>
        </w:rPr>
        <w:t>Agence France Trésor/IEM Finance,</w:t>
      </w:r>
      <w:r w:rsidRPr="00D8358C">
        <w:rPr>
          <w:rFonts w:ascii="Avenir Next LT Pro" w:hAnsi="Avenir Next LT Pro"/>
          <w:sz w:val="22"/>
          <w:szCs w:val="22"/>
        </w:rPr>
        <w:t xml:space="preserve"> 2025</w:t>
      </w:r>
      <w:r w:rsidRPr="00D8358C">
        <w:rPr>
          <w:rFonts w:ascii="Avenir Next LT Pro" w:hAnsi="Avenir Next LT Pro"/>
          <w:sz w:val="22"/>
          <w:szCs w:val="22"/>
        </w:rPr>
        <w:t xml:space="preserve"> </w:t>
      </w:r>
      <w:r w:rsidRPr="00D8358C">
        <w:rPr>
          <w:rStyle w:val="Emphasis"/>
          <w:rFonts w:ascii="Avenir Next LT Pro" w:hAnsi="Avenir Next LT Pro"/>
          <w:sz w:val="22"/>
          <w:szCs w:val="22"/>
        </w:rPr>
        <w:t>Primary Dealers Sur</w:t>
      </w:r>
      <w:r w:rsidRPr="00D8358C">
        <w:rPr>
          <w:rStyle w:val="Emphasis"/>
          <w:rFonts w:ascii="Avenir Next LT Pro" w:hAnsi="Avenir Next LT Pro"/>
          <w:sz w:val="22"/>
          <w:szCs w:val="22"/>
        </w:rPr>
        <w:t>vey</w:t>
      </w:r>
      <w:r w:rsidRPr="00D8358C">
        <w:rPr>
          <w:rStyle w:val="Emphasis"/>
          <w:rFonts w:ascii="Avenir Next LT Pro" w:hAnsi="Avenir Next LT Pro"/>
          <w:i w:val="0"/>
          <w:iCs w:val="0"/>
          <w:sz w:val="22"/>
          <w:szCs w:val="22"/>
        </w:rPr>
        <w:t>)</w:t>
      </w:r>
      <w:r w:rsidRPr="00D8358C">
        <w:rPr>
          <w:rFonts w:ascii="Avenir Next LT Pro" w:hAnsi="Avenir Next LT Pro"/>
          <w:sz w:val="22"/>
          <w:szCs w:val="22"/>
        </w:rPr>
        <w:t xml:space="preserve">. </w:t>
      </w:r>
      <w:r w:rsidRPr="00D8358C">
        <w:rPr>
          <w:rFonts w:ascii="Avenir Next LT Pro" w:hAnsi="Avenir Next LT Pro"/>
          <w:sz w:val="22"/>
          <w:szCs w:val="22"/>
        </w:rPr>
        <w:br/>
      </w:r>
    </w:p>
    <w:p w14:paraId="1342142F" w14:textId="73E5A081" w:rsidR="008A34C2" w:rsidRPr="00D8358C" w:rsidRDefault="008A34C2" w:rsidP="008A34C2">
      <w:pPr>
        <w:pStyle w:val="NormalWeb"/>
        <w:numPr>
          <w:ilvl w:val="0"/>
          <w:numId w:val="29"/>
        </w:numPr>
        <w:rPr>
          <w:rFonts w:ascii="Avenir Next LT Pro" w:hAnsi="Avenir Next LT Pro"/>
          <w:sz w:val="22"/>
          <w:szCs w:val="22"/>
        </w:rPr>
      </w:pPr>
      <w:r w:rsidRPr="00D8358C">
        <w:rPr>
          <w:rFonts w:ascii="Avenir Next LT Pro" w:hAnsi="Avenir Next LT Pro"/>
          <w:sz w:val="22"/>
          <w:szCs w:val="22"/>
        </w:rPr>
        <w:t>With OECD refinancing requirements reaching USD 13.5 trillion in 2025, ensuring sufficient dealer balance-sheet capacity is increasingly important. The Working Party should examine the cumulative impact of prudential requirements on market-making, assess potential unintended consequences and identify proportionate solutions that preserve financial stability without unnecessarily restricting intermediation.</w:t>
      </w:r>
    </w:p>
    <w:p w14:paraId="26785A23" w14:textId="77777777" w:rsidR="00D8358C" w:rsidRPr="00D8358C" w:rsidRDefault="00D8358C" w:rsidP="00D8358C">
      <w:pPr>
        <w:pStyle w:val="NormalWeb"/>
        <w:ind w:left="720"/>
        <w:rPr>
          <w:rFonts w:ascii="Avenir Next LT Pro" w:hAnsi="Avenir Next LT Pro"/>
          <w:sz w:val="22"/>
          <w:szCs w:val="22"/>
        </w:rPr>
      </w:pPr>
    </w:p>
    <w:p w14:paraId="690CFF7A" w14:textId="5338B226" w:rsidR="008A34C2" w:rsidRPr="00D8358C" w:rsidRDefault="008A34C2" w:rsidP="00D8358C">
      <w:pPr>
        <w:pStyle w:val="NormalWeb"/>
        <w:rPr>
          <w:rFonts w:ascii="Avenir Next LT Pro" w:hAnsi="Avenir Next LT Pro"/>
          <w:sz w:val="22"/>
          <w:szCs w:val="22"/>
        </w:rPr>
      </w:pPr>
      <w:r w:rsidRPr="00D8358C">
        <w:rPr>
          <w:rStyle w:val="Strong"/>
          <w:rFonts w:ascii="Avenir Next LT Pro" w:hAnsi="Avenir Next LT Pro"/>
          <w:sz w:val="22"/>
          <w:szCs w:val="22"/>
        </w:rPr>
        <w:t>2. Deepen repo markets and improve collateral availability</w:t>
      </w:r>
    </w:p>
    <w:p w14:paraId="406FF014" w14:textId="78DD29B4" w:rsidR="00D8358C" w:rsidRPr="00D8358C" w:rsidRDefault="008A34C2"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 xml:space="preserve">BIAC encourages the OECD to remove operational and regulatory barriers to </w:t>
      </w:r>
      <w:proofErr w:type="gramStart"/>
      <w:r w:rsidRPr="00D8358C">
        <w:rPr>
          <w:rFonts w:ascii="Avenir Next LT Pro" w:hAnsi="Avenir Next LT Pro"/>
          <w:sz w:val="22"/>
          <w:szCs w:val="22"/>
        </w:rPr>
        <w:t>efficient</w:t>
      </w:r>
      <w:proofErr w:type="gramEnd"/>
      <w:r w:rsidRPr="00D8358C">
        <w:rPr>
          <w:rFonts w:ascii="Avenir Next LT Pro" w:hAnsi="Avenir Next LT Pro"/>
          <w:sz w:val="22"/>
          <w:szCs w:val="22"/>
        </w:rPr>
        <w:t xml:space="preserve"> secured financing, strengthen collateral mobility and promote reliable repo market access. ICMA's latest European Repo Market Survey</w:t>
      </w:r>
      <w:r w:rsidR="00D8358C" w:rsidRPr="00D8358C">
        <w:rPr>
          <w:rFonts w:ascii="Avenir Next LT Pro" w:hAnsi="Avenir Next LT Pro"/>
          <w:sz w:val="22"/>
          <w:szCs w:val="22"/>
        </w:rPr>
        <w:t xml:space="preserve"> in March 2026</w:t>
      </w:r>
      <w:r w:rsidRPr="00D8358C">
        <w:rPr>
          <w:rFonts w:ascii="Avenir Next LT Pro" w:hAnsi="Avenir Next LT Pro"/>
          <w:sz w:val="22"/>
          <w:szCs w:val="22"/>
        </w:rPr>
        <w:t xml:space="preserve"> recorded EUR 13.7 trillion in outstanding repo and reverse-repo transactions in December 2025, up 24.6% year-on-year, demonstrating the scale and growing importance of these markets. </w:t>
      </w:r>
      <w:r w:rsidR="00D8358C" w:rsidRPr="00D8358C">
        <w:rPr>
          <w:rFonts w:ascii="Avenir Next LT Pro" w:hAnsi="Avenir Next LT Pro"/>
          <w:sz w:val="22"/>
          <w:szCs w:val="22"/>
        </w:rPr>
        <w:br/>
      </w:r>
    </w:p>
    <w:p w14:paraId="06BB00C8" w14:textId="66E6FE10" w:rsidR="00D8358C" w:rsidRPr="00D8358C" w:rsidRDefault="00D8358C"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Thus, t</w:t>
      </w:r>
      <w:r w:rsidR="008A34C2" w:rsidRPr="00D8358C">
        <w:rPr>
          <w:rFonts w:ascii="Avenir Next LT Pro" w:hAnsi="Avenir Next LT Pro"/>
          <w:sz w:val="22"/>
          <w:szCs w:val="22"/>
        </w:rPr>
        <w:t>he Working Party should identify good practices in securities lending, collateral management, settlement efficiency and central bank liquidity facilities, particularly during periods of market stress. Improving repo market functioning would help dealers finance bond inventories, maintain competitive pricing and support liquidity across the yield curve.</w:t>
      </w:r>
    </w:p>
    <w:p w14:paraId="6AD9B110" w14:textId="77777777" w:rsidR="008A34C2" w:rsidRPr="00D8358C" w:rsidRDefault="008A34C2" w:rsidP="00D8358C">
      <w:pPr>
        <w:pStyle w:val="NormalWeb"/>
        <w:rPr>
          <w:rFonts w:ascii="Avenir Next LT Pro" w:hAnsi="Avenir Next LT Pro"/>
          <w:sz w:val="22"/>
          <w:szCs w:val="22"/>
        </w:rPr>
      </w:pPr>
      <w:r w:rsidRPr="00D8358C">
        <w:rPr>
          <w:rStyle w:val="Strong"/>
          <w:rFonts w:ascii="Avenir Next LT Pro" w:hAnsi="Avenir Next LT Pro"/>
          <w:sz w:val="22"/>
          <w:szCs w:val="22"/>
        </w:rPr>
        <w:t>3. Facilitate derivatives-based hedging and support diverse market participants.</w:t>
      </w:r>
    </w:p>
    <w:p w14:paraId="420DE501" w14:textId="4F71F761" w:rsidR="00D8358C" w:rsidRPr="00D8358C" w:rsidRDefault="008A34C2"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 xml:space="preserve">BIAC encourages the OECD to </w:t>
      </w:r>
      <w:proofErr w:type="spellStart"/>
      <w:r w:rsidRPr="00D8358C">
        <w:rPr>
          <w:rFonts w:ascii="Avenir Next LT Pro" w:hAnsi="Avenir Next LT Pro"/>
          <w:sz w:val="22"/>
          <w:szCs w:val="22"/>
        </w:rPr>
        <w:t>recognise</w:t>
      </w:r>
      <w:proofErr w:type="spellEnd"/>
      <w:r w:rsidRPr="00D8358C">
        <w:rPr>
          <w:rFonts w:ascii="Avenir Next LT Pro" w:hAnsi="Avenir Next LT Pro"/>
          <w:sz w:val="22"/>
          <w:szCs w:val="22"/>
        </w:rPr>
        <w:t xml:space="preserve"> the contribution of derivatives and non-bank intermediaries to price discovery, risk management and secondary-market liquidity. According to ISDA, interest-rate derivatives traded notional across the US, UK and EU reached USD 866.4 trillion in 2025, an increase of 40.8% year-on-year </w:t>
      </w:r>
      <w:r w:rsidR="00D8358C" w:rsidRPr="00D8358C">
        <w:rPr>
          <w:rFonts w:ascii="Avenir Next LT Pro" w:hAnsi="Avenir Next LT Pro"/>
          <w:sz w:val="22"/>
          <w:szCs w:val="22"/>
        </w:rPr>
        <w:t>(</w:t>
      </w:r>
      <w:proofErr w:type="spellStart"/>
      <w:r w:rsidR="00D8358C" w:rsidRPr="00D8358C">
        <w:rPr>
          <w:rFonts w:ascii="Avenir Next LT Pro" w:hAnsi="Avenir Next LT Pro"/>
          <w:sz w:val="22"/>
          <w:szCs w:val="22"/>
        </w:rPr>
        <w:t>cf</w:t>
      </w:r>
      <w:proofErr w:type="spellEnd"/>
      <w:r w:rsidR="00D8358C" w:rsidRPr="00D8358C">
        <w:rPr>
          <w:rFonts w:ascii="Avenir Next LT Pro" w:hAnsi="Avenir Next LT Pro"/>
          <w:sz w:val="22"/>
          <w:szCs w:val="22"/>
        </w:rPr>
        <w:t xml:space="preserve"> their May 2026 </w:t>
      </w:r>
      <w:r w:rsidR="00D8358C">
        <w:rPr>
          <w:rFonts w:ascii="Avenir Next LT Pro" w:hAnsi="Avenir Next LT Pro"/>
          <w:sz w:val="22"/>
          <w:szCs w:val="22"/>
        </w:rPr>
        <w:t xml:space="preserve">report </w:t>
      </w:r>
      <w:r w:rsidRPr="00D8358C">
        <w:rPr>
          <w:rStyle w:val="Emphasis"/>
          <w:rFonts w:ascii="Avenir Next LT Pro" w:hAnsi="Avenir Next LT Pro"/>
          <w:sz w:val="22"/>
          <w:szCs w:val="22"/>
        </w:rPr>
        <w:t>Interest Rate Derivatives Trading Activity</w:t>
      </w:r>
      <w:r w:rsidR="00D8358C" w:rsidRPr="00D8358C">
        <w:rPr>
          <w:rFonts w:ascii="Avenir Next LT Pro" w:hAnsi="Avenir Next LT Pro"/>
          <w:sz w:val="22"/>
          <w:szCs w:val="22"/>
        </w:rPr>
        <w:t>)</w:t>
      </w:r>
      <w:r w:rsidRPr="00D8358C">
        <w:rPr>
          <w:rFonts w:ascii="Avenir Next LT Pro" w:hAnsi="Avenir Next LT Pro"/>
          <w:sz w:val="22"/>
          <w:szCs w:val="22"/>
        </w:rPr>
        <w:t>. This underlines the scale of hedging activity underpinning modern fixed-income markets.</w:t>
      </w:r>
      <w:r w:rsidR="00D8358C" w:rsidRPr="00D8358C">
        <w:rPr>
          <w:rFonts w:ascii="Avenir Next LT Pro" w:hAnsi="Avenir Next LT Pro"/>
          <w:sz w:val="22"/>
          <w:szCs w:val="22"/>
        </w:rPr>
        <w:br/>
      </w:r>
    </w:p>
    <w:p w14:paraId="4D18F88C" w14:textId="1EB80844" w:rsidR="00D8358C" w:rsidRPr="00D8358C" w:rsidRDefault="008A34C2"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 xml:space="preserve">The Working Party should </w:t>
      </w:r>
      <w:r w:rsidR="00D8358C" w:rsidRPr="00D8358C">
        <w:rPr>
          <w:rFonts w:ascii="Avenir Next LT Pro" w:hAnsi="Avenir Next LT Pro"/>
          <w:sz w:val="22"/>
          <w:szCs w:val="22"/>
        </w:rPr>
        <w:t xml:space="preserve">therefore </w:t>
      </w:r>
      <w:r w:rsidRPr="00D8358C">
        <w:rPr>
          <w:rFonts w:ascii="Avenir Next LT Pro" w:hAnsi="Avenir Next LT Pro"/>
          <w:sz w:val="22"/>
          <w:szCs w:val="22"/>
        </w:rPr>
        <w:t>preserve access to efficient hedging instruments, assess barriers to market participation and distinguish beneficial arbitrage and liquidity provision from excessive leverage or concentrated risk exposures. Regulatory responses should target identifiable vulnerabilities without unnecessarily constraining legitimate market activity.</w:t>
      </w:r>
      <w:r w:rsidR="00D8358C" w:rsidRPr="00D8358C">
        <w:rPr>
          <w:rFonts w:ascii="Avenir Next LT Pro" w:hAnsi="Avenir Next LT Pro"/>
          <w:sz w:val="22"/>
          <w:szCs w:val="22"/>
        </w:rPr>
        <w:br/>
      </w:r>
    </w:p>
    <w:p w14:paraId="6057A0C1" w14:textId="77777777" w:rsidR="008A34C2" w:rsidRPr="00D8358C" w:rsidRDefault="008A34C2" w:rsidP="00D8358C">
      <w:pPr>
        <w:pStyle w:val="NormalWeb"/>
        <w:rPr>
          <w:rFonts w:ascii="Avenir Next LT Pro" w:hAnsi="Avenir Next LT Pro"/>
          <w:sz w:val="22"/>
          <w:szCs w:val="22"/>
        </w:rPr>
      </w:pPr>
      <w:r w:rsidRPr="00D8358C">
        <w:rPr>
          <w:rStyle w:val="Strong"/>
          <w:rFonts w:ascii="Avenir Next LT Pro" w:hAnsi="Avenir Next LT Pro"/>
          <w:sz w:val="22"/>
          <w:szCs w:val="22"/>
        </w:rPr>
        <w:t>4. Promote predictable issuance strategies and closer public-private market dialogue.</w:t>
      </w:r>
    </w:p>
    <w:p w14:paraId="64CF4D6D" w14:textId="591904A5" w:rsidR="00D8358C" w:rsidRPr="00D8358C" w:rsidRDefault="008A34C2"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 xml:space="preserve">BIAC encourages debt management offices to strengthen consultation with banks, institutional investors and other market participants when designing issuance strategies and liquidity-supporting measures. SIFMA reports that average daily trading in US Treasury securities reached USD 1.22 trillion during January–September 2026, up 13.7% year-on-year, illustrating the scale of intermediation required in major sovereign markets </w:t>
      </w:r>
      <w:r w:rsidR="00D8358C" w:rsidRPr="00D8358C">
        <w:rPr>
          <w:rFonts w:ascii="Avenir Next LT Pro" w:hAnsi="Avenir Next LT Pro"/>
          <w:sz w:val="22"/>
          <w:szCs w:val="22"/>
        </w:rPr>
        <w:t>(</w:t>
      </w:r>
      <w:proofErr w:type="spellStart"/>
      <w:r w:rsidR="00D8358C" w:rsidRPr="00D8358C">
        <w:rPr>
          <w:rFonts w:ascii="Avenir Next LT Pro" w:hAnsi="Avenir Next LT Pro"/>
          <w:sz w:val="22"/>
          <w:szCs w:val="22"/>
        </w:rPr>
        <w:t>cf</w:t>
      </w:r>
      <w:proofErr w:type="spellEnd"/>
      <w:r w:rsidR="00D8358C" w:rsidRPr="00D8358C">
        <w:rPr>
          <w:rFonts w:ascii="Avenir Next LT Pro" w:hAnsi="Avenir Next LT Pro"/>
          <w:sz w:val="22"/>
          <w:szCs w:val="22"/>
        </w:rPr>
        <w:t xml:space="preserve"> their October 2026 report </w:t>
      </w:r>
      <w:r w:rsidRPr="00D8358C">
        <w:rPr>
          <w:rStyle w:val="Emphasis"/>
          <w:rFonts w:ascii="Avenir Next LT Pro" w:hAnsi="Avenir Next LT Pro"/>
          <w:sz w:val="22"/>
          <w:szCs w:val="22"/>
        </w:rPr>
        <w:t>US Treasury Securities Statistics</w:t>
      </w:r>
      <w:r w:rsidR="00D8358C" w:rsidRPr="00D8358C">
        <w:rPr>
          <w:rStyle w:val="Emphasis"/>
          <w:rFonts w:ascii="Avenir Next LT Pro" w:hAnsi="Avenir Next LT Pro"/>
          <w:i w:val="0"/>
          <w:iCs w:val="0"/>
          <w:sz w:val="22"/>
          <w:szCs w:val="22"/>
        </w:rPr>
        <w:t>)</w:t>
      </w:r>
      <w:r w:rsidRPr="00D8358C">
        <w:rPr>
          <w:rFonts w:ascii="Avenir Next LT Pro" w:hAnsi="Avenir Next LT Pro"/>
          <w:sz w:val="22"/>
          <w:szCs w:val="22"/>
        </w:rPr>
        <w:t xml:space="preserve">. </w:t>
      </w:r>
      <w:r w:rsidR="00D8358C" w:rsidRPr="00D8358C">
        <w:rPr>
          <w:rFonts w:ascii="Avenir Next LT Pro" w:hAnsi="Avenir Next LT Pro"/>
          <w:sz w:val="22"/>
          <w:szCs w:val="22"/>
        </w:rPr>
        <w:br/>
      </w:r>
    </w:p>
    <w:p w14:paraId="0DE7F8D2" w14:textId="45825EF5" w:rsidR="00F56C48" w:rsidRPr="00D8358C" w:rsidRDefault="008A34C2" w:rsidP="00D8358C">
      <w:pPr>
        <w:pStyle w:val="NormalWeb"/>
        <w:numPr>
          <w:ilvl w:val="0"/>
          <w:numId w:val="29"/>
        </w:numPr>
        <w:rPr>
          <w:rFonts w:ascii="Avenir Next LT Pro" w:hAnsi="Avenir Next LT Pro"/>
          <w:sz w:val="22"/>
          <w:szCs w:val="22"/>
        </w:rPr>
      </w:pPr>
      <w:r w:rsidRPr="00D8358C">
        <w:rPr>
          <w:rFonts w:ascii="Avenir Next LT Pro" w:hAnsi="Avenir Next LT Pro"/>
          <w:sz w:val="22"/>
          <w:szCs w:val="22"/>
        </w:rPr>
        <w:t>The Working Party should identify effective practices in predictable issuance calendars, benchmark reopenings, buyback and switch operations, and securities lending facilities. Greater transparency and regular market consultation would support investor participation, reduce execution uncertainty and strengthen the sovereign yield curves used to price corporate financing.</w:t>
      </w:r>
    </w:p>
    <w:sectPr w:rsidR="00F56C48" w:rsidRPr="00D8358C" w:rsidSect="00034616">
      <w:headerReference w:type="default" r:id="rId10"/>
      <w:footerReference w:type="even" r:id="rId11"/>
      <w:footerReference w:type="default" r:id="rId12"/>
      <w:footerReference w:type="first" r:id="rId13"/>
      <w:pgSz w:w="12240" w:h="15840"/>
      <w:pgMar w:top="648" w:right="1181" w:bottom="1037" w:left="1181"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9893" w14:textId="77777777" w:rsidR="00F25712" w:rsidRDefault="00F25712">
      <w:pPr>
        <w:spacing w:after="0" w:line="240" w:lineRule="auto"/>
      </w:pPr>
      <w:r>
        <w:separator/>
      </w:r>
    </w:p>
  </w:endnote>
  <w:endnote w:type="continuationSeparator" w:id="0">
    <w:p w14:paraId="7146F513" w14:textId="77777777" w:rsidR="00F25712" w:rsidRDefault="00F2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venir Next LT Pro">
    <w:altName w:val="Avenir Next LT Pro"/>
    <w:charset w:val="00"/>
    <w:family w:val="swiss"/>
    <w:pitch w:val="variable"/>
    <w:sig w:usb0="800000EF" w:usb1="5000204A" w:usb2="00000000" w:usb3="00000000" w:csb0="00000093"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3694" w14:textId="0B16213F" w:rsidR="004D14CA" w:rsidRDefault="004D14CA">
    <w:pPr>
      <w:pStyle w:val="Footer"/>
    </w:pPr>
    <w:r>
      <w:rPr>
        <w:noProof/>
      </w:rPr>
      <mc:AlternateContent>
        <mc:Choice Requires="wps">
          <w:drawing>
            <wp:anchor distT="0" distB="0" distL="0" distR="0" simplePos="0" relativeHeight="251659264" behindDoc="0" locked="0" layoutInCell="1" allowOverlap="1" wp14:anchorId="6B062FBF" wp14:editId="7549ADA0">
              <wp:simplePos x="635" y="635"/>
              <wp:positionH relativeFrom="page">
                <wp:align>center</wp:align>
              </wp:positionH>
              <wp:positionV relativeFrom="page">
                <wp:align>bottom</wp:align>
              </wp:positionV>
              <wp:extent cx="1819275" cy="348615"/>
              <wp:effectExtent l="0" t="0" r="9525" b="0"/>
              <wp:wrapNone/>
              <wp:docPr id="1812239664"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9275" cy="348615"/>
                      </a:xfrm>
                      <a:prstGeom prst="rect">
                        <a:avLst/>
                      </a:prstGeom>
                      <a:noFill/>
                      <a:ln>
                        <a:noFill/>
                      </a:ln>
                    </wps:spPr>
                    <wps:txbx>
                      <w:txbxContent>
                        <w:p w14:paraId="0C457118" w14:textId="5F105140"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062FBF" id="_x0000_t202" coordsize="21600,21600" o:spt="202" path="m,l,21600r21600,l21600,xe">
              <v:stroke joinstyle="miter"/>
              <v:path gradientshapeok="t" o:connecttype="rect"/>
            </v:shapetype>
            <v:shape id="Text Box 2" o:spid="_x0000_s1026" type="#_x0000_t202" alt="Restricted Use - À usage restreint" style="position:absolute;margin-left:0;margin-top:0;width:143.25pt;height:27.4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" filled="f" stroked="f">
              <v:textbox style="mso-fit-shape-to-text:t" inset="0,0,0,15pt">
                <w:txbxContent>
                  <w:p w14:paraId="0C457118" w14:textId="5F105140"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4C41" w14:textId="018402B8" w:rsidR="00F56C48" w:rsidRDefault="004D14CA">
    <w:pPr>
      <w:pStyle w:val="Footer"/>
      <w:pBdr>
        <w:top w:val="single" w:sz="8" w:space="5" w:color="7F7FB0"/>
      </w:pBdr>
    </w:pPr>
    <w:r>
      <w:rPr>
        <w:noProof/>
      </w:rPr>
      <mc:AlternateContent>
        <mc:Choice Requires="wps">
          <w:drawing>
            <wp:anchor distT="0" distB="0" distL="0" distR="0" simplePos="0" relativeHeight="251660288" behindDoc="0" locked="0" layoutInCell="1" allowOverlap="1" wp14:anchorId="40690856" wp14:editId="33B0AD11">
              <wp:simplePos x="752475" y="9086850"/>
              <wp:positionH relativeFrom="page">
                <wp:align>center</wp:align>
              </wp:positionH>
              <wp:positionV relativeFrom="page">
                <wp:align>bottom</wp:align>
              </wp:positionV>
              <wp:extent cx="1819275" cy="348615"/>
              <wp:effectExtent l="0" t="0" r="9525" b="0"/>
              <wp:wrapNone/>
              <wp:docPr id="1754162878"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9275" cy="348615"/>
                      </a:xfrm>
                      <a:prstGeom prst="rect">
                        <a:avLst/>
                      </a:prstGeom>
                      <a:noFill/>
                      <a:ln>
                        <a:noFill/>
                      </a:ln>
                    </wps:spPr>
                    <wps:txbx>
                      <w:txbxContent>
                        <w:p w14:paraId="1EAD9F1D" w14:textId="05BDDD67"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690856" id="_x0000_t202" coordsize="21600,21600" o:spt="202" path="m,l,21600r21600,l21600,xe">
              <v:stroke joinstyle="miter"/>
              <v:path gradientshapeok="t" o:connecttype="rect"/>
            </v:shapetype>
            <v:shape id="Text Box 3" o:spid="_x0000_s1027" type="#_x0000_t202" alt="Restricted Use - À usage restreint" style="position:absolute;margin-left:0;margin-top:0;width:143.25pt;height:27.4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" filled="f" stroked="f">
              <v:textbox style="mso-fit-shape-to-text:t" inset="0,0,0,15pt">
                <w:txbxContent>
                  <w:p w14:paraId="1EAD9F1D" w14:textId="05BDDD67"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v:textbox>
              <w10:wrap anchorx="page" anchory="page"/>
            </v:shape>
          </w:pict>
        </mc:Fallback>
      </mc:AlternateContent>
    </w:r>
  </w:p>
  <w:tbl>
    <w:tblPr>
      <w:tblW w:w="0" w:type="auto"/>
      <w:tblLayout w:type="fixed"/>
      <w:tblLook w:val="04A0" w:firstRow="1" w:lastRow="0" w:firstColumn="1" w:lastColumn="0" w:noHBand="0" w:noVBand="1"/>
    </w:tblPr>
    <w:tblGrid>
      <w:gridCol w:w="3456"/>
      <w:gridCol w:w="3600"/>
      <w:gridCol w:w="3168"/>
    </w:tblGrid>
    <w:tr w:rsidR="00F56C48" w14:paraId="1B93633F" w14:textId="77777777">
      <w:tc>
        <w:tcPr>
          <w:tcW w:w="3456" w:type="dxa"/>
        </w:tcPr>
        <w:p w14:paraId="69451255" w14:textId="77777777" w:rsidR="00F56C48" w:rsidRPr="00315F26" w:rsidRDefault="00DC0A22">
          <w:pPr>
            <w:spacing w:after="0"/>
            <w:rPr>
              <w:lang w:val="fr-FR"/>
            </w:rPr>
          </w:pPr>
          <w:r w:rsidRPr="00315F26">
            <w:rPr>
              <w:color w:val="2E2E77"/>
              <w:sz w:val="17"/>
              <w:lang w:val="fr-FR"/>
            </w:rPr>
            <w:t>Business at OECD (BIAC)</w:t>
          </w:r>
          <w:r w:rsidRPr="00315F26">
            <w:rPr>
              <w:lang w:val="fr-FR"/>
            </w:rPr>
            <w:br/>
          </w:r>
          <w:r w:rsidRPr="00315F26">
            <w:rPr>
              <w:color w:val="2E2E77"/>
              <w:sz w:val="17"/>
              <w:lang w:val="fr-FR"/>
            </w:rPr>
            <w:t>13/15, Chaussée de la Muette</w:t>
          </w:r>
          <w:r w:rsidRPr="00315F26">
            <w:rPr>
              <w:lang w:val="fr-FR"/>
            </w:rPr>
            <w:br/>
          </w:r>
          <w:r w:rsidRPr="00315F26">
            <w:rPr>
              <w:color w:val="2E2E77"/>
              <w:sz w:val="17"/>
              <w:lang w:val="fr-FR"/>
            </w:rPr>
            <w:t>75016 Paris, France</w:t>
          </w:r>
        </w:p>
      </w:tc>
      <w:tc>
        <w:tcPr>
          <w:tcW w:w="3600" w:type="dxa"/>
        </w:tcPr>
        <w:p w14:paraId="19DD33FA" w14:textId="77777777" w:rsidR="00F56C48" w:rsidRDefault="00DC0A22">
          <w:pPr>
            <w:spacing w:after="0"/>
          </w:pPr>
          <w:r>
            <w:rPr>
              <w:color w:val="2E2E77"/>
              <w:sz w:val="17"/>
            </w:rPr>
            <w:t>www.businessatoecd.org</w:t>
          </w:r>
          <w:r>
            <w:br/>
          </w:r>
          <w:r>
            <w:rPr>
              <w:color w:val="2E2E77"/>
              <w:sz w:val="17"/>
            </w:rPr>
            <w:t>@BusinessatOECD</w:t>
          </w:r>
          <w:r>
            <w:br/>
          </w:r>
          <w:r>
            <w:rPr>
              <w:color w:val="2E2E77"/>
              <w:sz w:val="17"/>
            </w:rPr>
            <w:t>Business at OECD</w:t>
          </w:r>
        </w:p>
      </w:tc>
      <w:tc>
        <w:tcPr>
          <w:tcW w:w="3168" w:type="dxa"/>
        </w:tcPr>
        <w:p w14:paraId="561FC347" w14:textId="77777777" w:rsidR="00F56C48" w:rsidRDefault="00DC0A22">
          <w:pPr>
            <w:spacing w:after="0"/>
            <w:jc w:val="right"/>
          </w:pPr>
          <w:r>
            <w:rPr>
              <w:color w:val="2E2E77"/>
              <w:sz w:val="17"/>
            </w:rPr>
            <w:t>Tel: +33 (0)1 42 30 09 60</w:t>
          </w:r>
          <w:r>
            <w:br/>
          </w:r>
          <w:r>
            <w:rPr>
              <w:color w:val="2E2E77"/>
              <w:sz w:val="17"/>
            </w:rPr>
            <w:t>communications@biac.org</w:t>
          </w:r>
        </w:p>
      </w:tc>
    </w:tr>
  </w:tbl>
  <w:p w14:paraId="0053234F" w14:textId="77777777" w:rsidR="00F56C48" w:rsidRDefault="00DC0A22">
    <w:pPr>
      <w:jc w:val="center"/>
    </w:pPr>
    <w:r>
      <w:rPr>
        <w:color w:val="0000FF"/>
        <w:sz w:val="17"/>
      </w:rPr>
      <w:t xml:space="preserve">Restricted Use - À usage </w:t>
    </w:r>
    <w:proofErr w:type="spellStart"/>
    <w:r>
      <w:rPr>
        <w:color w:val="0000FF"/>
        <w:sz w:val="17"/>
      </w:rPr>
      <w:t>restreint</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25BB" w14:textId="0C6FAA2E" w:rsidR="004D14CA" w:rsidRDefault="004D14CA">
    <w:pPr>
      <w:pStyle w:val="Footer"/>
    </w:pPr>
    <w:r>
      <w:rPr>
        <w:noProof/>
      </w:rPr>
      <mc:AlternateContent>
        <mc:Choice Requires="wps">
          <w:drawing>
            <wp:anchor distT="0" distB="0" distL="0" distR="0" simplePos="0" relativeHeight="251658240" behindDoc="0" locked="0" layoutInCell="1" allowOverlap="1" wp14:anchorId="32E06966" wp14:editId="227B6CC6">
              <wp:simplePos x="635" y="635"/>
              <wp:positionH relativeFrom="page">
                <wp:align>center</wp:align>
              </wp:positionH>
              <wp:positionV relativeFrom="page">
                <wp:align>bottom</wp:align>
              </wp:positionV>
              <wp:extent cx="1819275" cy="348615"/>
              <wp:effectExtent l="0" t="0" r="9525" b="0"/>
              <wp:wrapNone/>
              <wp:docPr id="290481407"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9275" cy="348615"/>
                      </a:xfrm>
                      <a:prstGeom prst="rect">
                        <a:avLst/>
                      </a:prstGeom>
                      <a:noFill/>
                      <a:ln>
                        <a:noFill/>
                      </a:ln>
                    </wps:spPr>
                    <wps:txbx>
                      <w:txbxContent>
                        <w:p w14:paraId="4E1817B3" w14:textId="0D5207CB"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E06966"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43.25pt;height:27.4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" filled="f" stroked="f">
              <v:textbox style="mso-fit-shape-to-text:t" inset="0,0,0,15pt">
                <w:txbxContent>
                  <w:p w14:paraId="4E1817B3" w14:textId="0D5207CB" w:rsidR="004D14CA" w:rsidRPr="004D14CA" w:rsidRDefault="004D14CA" w:rsidP="004D14CA">
                    <w:pPr>
                      <w:spacing w:after="0"/>
                      <w:rPr>
                        <w:rFonts w:ascii="Aptos" w:eastAsia="Aptos" w:hAnsi="Aptos" w:cs="Aptos"/>
                        <w:noProof/>
                        <w:color w:val="0000FF"/>
                        <w:szCs w:val="20"/>
                      </w:rPr>
                    </w:pPr>
                    <w:r w:rsidRPr="004D14CA">
                      <w:rPr>
                        <w:rFonts w:ascii="Aptos" w:eastAsia="Aptos" w:hAnsi="Aptos" w:cs="Aptos"/>
                        <w:noProof/>
                        <w:color w:val="0000FF"/>
                        <w:szCs w:val="20"/>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F77E" w14:textId="77777777" w:rsidR="00F25712" w:rsidRDefault="00F25712">
      <w:pPr>
        <w:spacing w:after="0" w:line="240" w:lineRule="auto"/>
      </w:pPr>
      <w:r>
        <w:separator/>
      </w:r>
    </w:p>
  </w:footnote>
  <w:footnote w:type="continuationSeparator" w:id="0">
    <w:p w14:paraId="474A9E56" w14:textId="77777777" w:rsidR="00F25712" w:rsidRDefault="00F2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4B" w14:textId="77777777" w:rsidR="00F56C48" w:rsidRDefault="00DC0A22">
    <w:pPr>
      <w:pStyle w:val="Header"/>
      <w:jc w:val="center"/>
    </w:pPr>
    <w:r>
      <w:rPr>
        <w:noProof/>
      </w:rPr>
      <w:drawing>
        <wp:inline distT="0" distB="0" distL="0" distR="0" wp14:anchorId="0C6DB048" wp14:editId="67106CF5">
          <wp:extent cx="6217920" cy="8657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c_header_logo.png"/>
                  <pic:cNvPicPr/>
                </pic:nvPicPr>
                <pic:blipFill>
                  <a:blip r:embed="rId1"/>
                  <a:stretch>
                    <a:fillRect/>
                  </a:stretch>
                </pic:blipFill>
                <pic:spPr>
                  <a:xfrm>
                    <a:off x="0" y="0"/>
                    <a:ext cx="6217920" cy="8657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41442"/>
    <w:multiLevelType w:val="hybridMultilevel"/>
    <w:tmpl w:val="AFC25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521D17"/>
    <w:multiLevelType w:val="hybridMultilevel"/>
    <w:tmpl w:val="95CC6060"/>
    <w:lvl w:ilvl="0" w:tplc="9E9C2F1C">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A343A4"/>
    <w:multiLevelType w:val="hybridMultilevel"/>
    <w:tmpl w:val="515A6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1750DD"/>
    <w:multiLevelType w:val="hybridMultilevel"/>
    <w:tmpl w:val="CD26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975630"/>
    <w:multiLevelType w:val="hybridMultilevel"/>
    <w:tmpl w:val="4BDE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8758FF"/>
    <w:multiLevelType w:val="multilevel"/>
    <w:tmpl w:val="E1A898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1778109F"/>
    <w:multiLevelType w:val="hybridMultilevel"/>
    <w:tmpl w:val="9F866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242CED"/>
    <w:multiLevelType w:val="hybridMultilevel"/>
    <w:tmpl w:val="96DA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B2241D"/>
    <w:multiLevelType w:val="hybridMultilevel"/>
    <w:tmpl w:val="8230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D300A4"/>
    <w:multiLevelType w:val="hybridMultilevel"/>
    <w:tmpl w:val="90CE9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CD4EAF"/>
    <w:multiLevelType w:val="hybridMultilevel"/>
    <w:tmpl w:val="886E87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37945AD"/>
    <w:multiLevelType w:val="hybridMultilevel"/>
    <w:tmpl w:val="9B40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86784"/>
    <w:multiLevelType w:val="hybridMultilevel"/>
    <w:tmpl w:val="F816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376E8B"/>
    <w:multiLevelType w:val="hybridMultilevel"/>
    <w:tmpl w:val="2A264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20FDA"/>
    <w:multiLevelType w:val="hybridMultilevel"/>
    <w:tmpl w:val="C796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B12172"/>
    <w:multiLevelType w:val="hybridMultilevel"/>
    <w:tmpl w:val="AF42E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010056"/>
    <w:multiLevelType w:val="hybridMultilevel"/>
    <w:tmpl w:val="1CA66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E4CCA"/>
    <w:multiLevelType w:val="hybridMultilevel"/>
    <w:tmpl w:val="8572D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A17632"/>
    <w:multiLevelType w:val="hybridMultilevel"/>
    <w:tmpl w:val="D0EC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9308BA"/>
    <w:multiLevelType w:val="hybridMultilevel"/>
    <w:tmpl w:val="CD84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70DB7"/>
    <w:multiLevelType w:val="hybridMultilevel"/>
    <w:tmpl w:val="549E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7574274">
    <w:abstractNumId w:val="8"/>
  </w:num>
  <w:num w:numId="2" w16cid:durableId="1843203532">
    <w:abstractNumId w:val="6"/>
  </w:num>
  <w:num w:numId="3" w16cid:durableId="39936894">
    <w:abstractNumId w:val="5"/>
  </w:num>
  <w:num w:numId="4" w16cid:durableId="1090155921">
    <w:abstractNumId w:val="4"/>
  </w:num>
  <w:num w:numId="5" w16cid:durableId="151525425">
    <w:abstractNumId w:val="7"/>
  </w:num>
  <w:num w:numId="6" w16cid:durableId="1023896889">
    <w:abstractNumId w:val="3"/>
  </w:num>
  <w:num w:numId="7" w16cid:durableId="545921326">
    <w:abstractNumId w:val="2"/>
  </w:num>
  <w:num w:numId="8" w16cid:durableId="82839726">
    <w:abstractNumId w:val="1"/>
  </w:num>
  <w:num w:numId="9" w16cid:durableId="200359791">
    <w:abstractNumId w:val="0"/>
  </w:num>
  <w:num w:numId="10" w16cid:durableId="1910917774">
    <w:abstractNumId w:val="28"/>
  </w:num>
  <w:num w:numId="11" w16cid:durableId="817497253">
    <w:abstractNumId w:val="23"/>
  </w:num>
  <w:num w:numId="12" w16cid:durableId="1039089807">
    <w:abstractNumId w:val="26"/>
  </w:num>
  <w:num w:numId="13" w16cid:durableId="1380782965">
    <w:abstractNumId w:val="12"/>
  </w:num>
  <w:num w:numId="14" w16cid:durableId="1067074688">
    <w:abstractNumId w:val="17"/>
  </w:num>
  <w:num w:numId="15" w16cid:durableId="8678504">
    <w:abstractNumId w:val="16"/>
  </w:num>
  <w:num w:numId="16" w16cid:durableId="1448740908">
    <w:abstractNumId w:val="20"/>
  </w:num>
  <w:num w:numId="17" w16cid:durableId="1642612854">
    <w:abstractNumId w:val="11"/>
  </w:num>
  <w:num w:numId="18" w16cid:durableId="1051536156">
    <w:abstractNumId w:val="9"/>
  </w:num>
  <w:num w:numId="19" w16cid:durableId="1469780006">
    <w:abstractNumId w:val="14"/>
  </w:num>
  <w:num w:numId="20" w16cid:durableId="814251053">
    <w:abstractNumId w:val="13"/>
  </w:num>
  <w:num w:numId="21" w16cid:durableId="28144847">
    <w:abstractNumId w:val="29"/>
  </w:num>
  <w:num w:numId="22" w16cid:durableId="1030423059">
    <w:abstractNumId w:val="18"/>
  </w:num>
  <w:num w:numId="23" w16cid:durableId="1195074648">
    <w:abstractNumId w:val="22"/>
  </w:num>
  <w:num w:numId="24" w16cid:durableId="1606305668">
    <w:abstractNumId w:val="25"/>
  </w:num>
  <w:num w:numId="25" w16cid:durableId="1961380036">
    <w:abstractNumId w:val="21"/>
  </w:num>
  <w:num w:numId="26" w16cid:durableId="1521972167">
    <w:abstractNumId w:val="24"/>
  </w:num>
  <w:num w:numId="27" w16cid:durableId="508757673">
    <w:abstractNumId w:val="19"/>
  </w:num>
  <w:num w:numId="28" w16cid:durableId="485978556">
    <w:abstractNumId w:val="15"/>
  </w:num>
  <w:num w:numId="29" w16cid:durableId="2011523848">
    <w:abstractNumId w:val="27"/>
  </w:num>
  <w:num w:numId="30" w16cid:durableId="1342589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7201"/>
    <w:rsid w:val="00226E05"/>
    <w:rsid w:val="0029639D"/>
    <w:rsid w:val="00315F26"/>
    <w:rsid w:val="00326F90"/>
    <w:rsid w:val="003521B5"/>
    <w:rsid w:val="003E13D4"/>
    <w:rsid w:val="004D14CA"/>
    <w:rsid w:val="008A34C2"/>
    <w:rsid w:val="008A3B4B"/>
    <w:rsid w:val="00AA1D8D"/>
    <w:rsid w:val="00B47730"/>
    <w:rsid w:val="00C24FE3"/>
    <w:rsid w:val="00CB0664"/>
    <w:rsid w:val="00CB29F8"/>
    <w:rsid w:val="00CF5FC8"/>
    <w:rsid w:val="00D8358C"/>
    <w:rsid w:val="00DA096C"/>
    <w:rsid w:val="00DC0A22"/>
    <w:rsid w:val="00E37228"/>
    <w:rsid w:val="00EB5914"/>
    <w:rsid w:val="00EF75DB"/>
    <w:rsid w:val="00F25712"/>
    <w:rsid w:val="00F56C48"/>
    <w:rsid w:val="00F841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726BB5"/>
  <w14:defaultImageDpi w14:val="300"/>
  <w15:docId w15:val="{979D8E72-76AD-4B03-86AD-A93342D3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15F26"/>
    <w:rPr>
      <w:color w:val="0000FF" w:themeColor="hyperlink"/>
      <w:u w:val="single"/>
    </w:rPr>
  </w:style>
  <w:style w:type="character" w:styleId="UnresolvedMention">
    <w:name w:val="Unresolved Mention"/>
    <w:basedOn w:val="DefaultParagraphFont"/>
    <w:uiPriority w:val="99"/>
    <w:semiHidden/>
    <w:unhideWhenUsed/>
    <w:rsid w:val="00315F26"/>
    <w:rPr>
      <w:color w:val="605E5C"/>
      <w:shd w:val="clear" w:color="auto" w:fill="E1DFDD"/>
    </w:rPr>
  </w:style>
  <w:style w:type="paragraph" w:styleId="NormalWeb">
    <w:name w:val="Normal (Web)"/>
    <w:basedOn w:val="Normal"/>
    <w:uiPriority w:val="99"/>
    <w:unhideWhenUsed/>
    <w:rsid w:val="00DA096C"/>
    <w:pPr>
      <w:spacing w:before="100"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atoecd.org/hubfs/The%20Risks%20of%20Divergence%20Between%20Global%20ESG%20Reporting%20Standards.pdf"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usinessatoecd.org/hubfs/The%20Risks%20of%20Divergence%20Between%20Global%20ESG%20Reporting%20Standards.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2004</Words>
  <Characters>11425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Munch</dc:creator>
  <cp:keywords/>
  <dc:description>generated by python-docx</dc:description>
  <cp:lastModifiedBy>MUNCH Nathan, BIAC</cp:lastModifiedBy>
  <cp:revision>2</cp:revision>
  <dcterms:created xsi:type="dcterms:W3CDTF">2026-10-15T12:40:00Z</dcterms:created>
  <dcterms:modified xsi:type="dcterms:W3CDTF">2026-10-15T12:40:00Z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115064ff,6c049530,688e66be</vt:lpwstr>
  </property>
  <property fmtid="{D5CDD505-2E9C-101B-9397-08002B2CF9AE}" pid="3" name="ClassificationContentMarkingFooterFontProps">
    <vt:lpwstr>#0000ff,10,Aptos</vt:lpwstr>
  </property>
  <property fmtid="{D5CDD505-2E9C-101B-9397-08002B2CF9AE}" pid="4" name="ClassificationContentMarkingFooterText">
    <vt:lpwstr>Restricted Use - À usage restreint</vt:lpwstr>
  </property>
  <property fmtid="{D5CDD505-2E9C-101B-9397-08002B2CF9AE}" pid="5" name="MSIP_Label_0e5510b0-e729-4ef0-a3dd-4ba0dfe56c99_Enabled">
    <vt:lpwstr>true</vt:lpwstr>
  </property>
  <property fmtid="{D5CDD505-2E9C-101B-9397-08002B2CF9AE}" pid="6" name="MSIP_Label_0e5510b0-e729-4ef0-a3dd-4ba0dfe56c99_SetDate">
    <vt:lpwstr>2026-10-06T09:40:32Z</vt:lpwstr>
  </property>
  <property fmtid="{D5CDD505-2E9C-101B-9397-08002B2CF9AE}" pid="7" name="MSIP_Label_0e5510b0-e729-4ef0-a3dd-4ba0dfe56c99_Method">
    <vt:lpwstr>Standard</vt:lpwstr>
  </property>
  <property fmtid="{D5CDD505-2E9C-101B-9397-08002B2CF9AE}" pid="8" name="MSIP_Label_0e5510b0-e729-4ef0-a3dd-4ba0dfe56c99_Name">
    <vt:lpwstr>Restricted Use</vt:lpwstr>
  </property>
  <property fmtid="{D5CDD505-2E9C-101B-9397-08002B2CF9AE}" pid="9" name="MSIP_Label_0e5510b0-e729-4ef0-a3dd-4ba0dfe56c99_SiteId">
    <vt:lpwstr>ac41c7d4-1f61-460d-b0f4-fc925a2b471c</vt:lpwstr>
  </property>
  <property fmtid="{D5CDD505-2E9C-101B-9397-08002B2CF9AE}" pid="10" name="MSIP_Label_0e5510b0-e729-4ef0-a3dd-4ba0dfe56c99_ActionId">
    <vt:lpwstr>8f37eeb8-395b-48c4-bd11-60cce08eede0</vt:lpwstr>
  </property>
  <property fmtid="{D5CDD505-2E9C-101B-9397-08002B2CF9AE}" pid="11" name="MSIP_Label_0e5510b0-e729-4ef0-a3dd-4ba0dfe56c99_ContentBits">
    <vt:lpwstr>2</vt:lpwstr>
  </property>
  <property fmtid="{D5CDD505-2E9C-101B-9397-08002B2CF9AE}" pid="12" name="MSIP_Label_0e5510b0-e729-4ef0-a3dd-4ba0dfe56c99_Tag">
    <vt:lpwstr>10, 3, 0, 1</vt:lpwstr>
  </property>
</Properties>
</file>